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BB9A8" w14:textId="57AB5A0F" w:rsidR="00D008AE" w:rsidRPr="009744F4" w:rsidRDefault="002814B8" w:rsidP="00D008AE">
      <w:pPr>
        <w:tabs>
          <w:tab w:val="num" w:pos="720"/>
        </w:tabs>
        <w:spacing w:before="240" w:line="276" w:lineRule="auto"/>
        <w:jc w:val="center"/>
        <w:rPr>
          <w:rFonts w:ascii="Open Sans Light" w:hAnsi="Open Sans Light" w:cs="Open Sans Light"/>
          <w:b/>
          <w:bCs/>
        </w:rPr>
      </w:pPr>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44FE2F95" w14:textId="77777777" w:rsidR="00D008AE" w:rsidRPr="009744F4" w:rsidRDefault="00D008AE" w:rsidP="00D008AE">
      <w:pPr>
        <w:spacing w:line="276" w:lineRule="auto"/>
        <w:jc w:val="center"/>
        <w:rPr>
          <w:rFonts w:ascii="Open Sans Light" w:hAnsi="Open Sans Light" w:cs="Open Sans Light"/>
          <w:b/>
        </w:rPr>
      </w:pPr>
      <w:r w:rsidRPr="009744F4">
        <w:rPr>
          <w:rFonts w:ascii="Open Sans Light" w:hAnsi="Open Sans Light" w:cs="Open Sans Light"/>
          <w:b/>
        </w:rPr>
        <w:t xml:space="preserve">Lista sprawdzająca </w:t>
      </w:r>
    </w:p>
    <w:p w14:paraId="667440E4" w14:textId="77777777" w:rsidR="00652569" w:rsidRPr="009744F4" w:rsidRDefault="00652569" w:rsidP="00652569">
      <w:pPr>
        <w:spacing w:after="60"/>
        <w:jc w:val="center"/>
        <w:outlineLvl w:val="0"/>
        <w:rPr>
          <w:rFonts w:ascii="Open Sans Light" w:hAnsi="Open Sans Light" w:cs="Open Sans Light"/>
          <w:b/>
          <w:bCs/>
          <w:kern w:val="28"/>
        </w:rPr>
      </w:pPr>
      <w:r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652569">
      <w:pPr>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(FEnIKS)</w:t>
      </w:r>
    </w:p>
    <w:p w14:paraId="7DD43DB3" w14:textId="77777777" w:rsidR="00C220EB" w:rsidRPr="009744F4" w:rsidRDefault="00C220EB" w:rsidP="00C220EB">
      <w:pPr>
        <w:tabs>
          <w:tab w:val="num" w:pos="720"/>
        </w:tabs>
        <w:spacing w:line="276" w:lineRule="auto"/>
        <w:jc w:val="both"/>
        <w:rPr>
          <w:rFonts w:ascii="Open Sans Light" w:hAnsi="Open Sans Light" w:cs="Open Sans Light"/>
          <w:b/>
          <w:bCs/>
        </w:rPr>
      </w:pPr>
    </w:p>
    <w:p w14:paraId="524FF03E" w14:textId="77777777" w:rsidR="00D008AE" w:rsidRPr="009744F4" w:rsidRDefault="00474064" w:rsidP="004F1D54">
      <w:pPr>
        <w:shd w:val="clear" w:color="auto" w:fill="D9D9D9"/>
        <w:tabs>
          <w:tab w:val="num" w:pos="720"/>
        </w:tabs>
        <w:spacing w:line="276" w:lineRule="auto"/>
        <w:jc w:val="center"/>
        <w:rPr>
          <w:rFonts w:ascii="Open Sans Light" w:hAnsi="Open Sans Light" w:cs="Open Sans Light"/>
          <w:b/>
          <w:bCs/>
        </w:rPr>
      </w:pPr>
      <w:r w:rsidRPr="009744F4">
        <w:rPr>
          <w:rFonts w:ascii="Open Sans Light" w:hAnsi="Open Sans Light" w:cs="Open Sans Light"/>
          <w:b/>
          <w:bCs/>
        </w:rPr>
        <w:t>ETAP 1 oceny</w:t>
      </w:r>
    </w:p>
    <w:p w14:paraId="5FC049DF" w14:textId="77777777" w:rsidR="00C220EB" w:rsidRPr="009744F4" w:rsidRDefault="00474064" w:rsidP="004F1D54">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6EDED78F" w14:textId="77777777" w:rsidR="00C220EB" w:rsidRPr="009744F4" w:rsidRDefault="00C220EB" w:rsidP="00C220EB">
      <w:pPr>
        <w:spacing w:line="276" w:lineRule="auto"/>
        <w:rPr>
          <w:rFonts w:ascii="Open Sans Light" w:hAnsi="Open Sans Light" w:cs="Open Sans Light"/>
          <w:b/>
        </w:rPr>
      </w:pPr>
    </w:p>
    <w:p w14:paraId="76008A33" w14:textId="77777777" w:rsidR="00D008AE" w:rsidRPr="009744F4" w:rsidRDefault="00D008AE" w:rsidP="00C220EB">
      <w:pPr>
        <w:spacing w:line="276" w:lineRule="auto"/>
        <w:rPr>
          <w:rFonts w:ascii="Open Sans Light" w:hAnsi="Open Sans Light" w:cs="Open Sans Light"/>
          <w:b/>
        </w:rPr>
      </w:pPr>
    </w:p>
    <w:p w14:paraId="0DC2AD1C" w14:textId="77777777"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Oś Priorytetowa FENX.01 Wsparcie sektorów energetyka i środowisko z Funduszu Spójności</w:t>
      </w:r>
    </w:p>
    <w:p w14:paraId="0077B1EA" w14:textId="77777777"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Działanie:  FENX.01.04 Gospodarka odpadami oraz gospodarka o obiegu zamkniętym</w:t>
      </w:r>
    </w:p>
    <w:p w14:paraId="0AF10DF7" w14:textId="38218677" w:rsidR="00F32096" w:rsidRPr="009744F4" w:rsidRDefault="00652569" w:rsidP="00652569">
      <w:pPr>
        <w:spacing w:line="276" w:lineRule="auto"/>
        <w:jc w:val="both"/>
        <w:rPr>
          <w:rFonts w:ascii="Open Sans Light" w:hAnsi="Open Sans Light" w:cs="Open Sans Light"/>
        </w:rPr>
      </w:pPr>
      <w:r w:rsidRPr="009744F4">
        <w:rPr>
          <w:rFonts w:ascii="Open Sans Light" w:hAnsi="Open Sans Light" w:cs="Open Sans Light"/>
          <w:b/>
          <w:bCs/>
        </w:rPr>
        <w:t xml:space="preserve">Typ projektu:  </w:t>
      </w:r>
      <w:r w:rsidR="0088258A" w:rsidRPr="0088258A">
        <w:rPr>
          <w:rFonts w:ascii="Open Sans Light" w:hAnsi="Open Sans Light" w:cs="Open Sans Light"/>
          <w:b/>
          <w:bCs/>
        </w:rPr>
        <w:t>Zapobieganie powstawaniu odpadów żywności poprzez wykorzystanie niesprzedanych produktów spożywczych lub produktów spożywczych o krótkim terminie przydatności do spożycia</w:t>
      </w:r>
    </w:p>
    <w:p w14:paraId="5CB179CC" w14:textId="77777777" w:rsidR="00474064" w:rsidRPr="009744F4" w:rsidRDefault="00474064" w:rsidP="00C220EB">
      <w:pPr>
        <w:spacing w:line="276" w:lineRule="auto"/>
        <w:rPr>
          <w:rFonts w:ascii="Open Sans Light" w:hAnsi="Open Sans Light" w:cs="Open Sans Light"/>
          <w:b/>
        </w:rPr>
      </w:pPr>
    </w:p>
    <w:p w14:paraId="1F9A6D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Tytuł projektu: </w:t>
      </w:r>
      <w:r w:rsidRPr="009744F4">
        <w:rPr>
          <w:rFonts w:ascii="Open Sans Light" w:hAnsi="Open Sans Light" w:cs="Open Sans Light"/>
        </w:rPr>
        <w:t>……………………………………………………………………………………</w:t>
      </w:r>
    </w:p>
    <w:p w14:paraId="0275F59B" w14:textId="77777777" w:rsidR="00474064" w:rsidRPr="009744F4" w:rsidRDefault="00474064" w:rsidP="00C220EB">
      <w:pPr>
        <w:spacing w:line="276" w:lineRule="auto"/>
        <w:rPr>
          <w:rFonts w:ascii="Open Sans Light" w:hAnsi="Open Sans Light" w:cs="Open Sans Light"/>
          <w:b/>
        </w:rPr>
      </w:pPr>
    </w:p>
    <w:p w14:paraId="025BFC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Beneficjent projektu: </w:t>
      </w:r>
      <w:r w:rsidRPr="009744F4">
        <w:rPr>
          <w:rFonts w:ascii="Open Sans Light" w:hAnsi="Open Sans Light" w:cs="Open Sans Light"/>
        </w:rPr>
        <w:t>………………………………………....................</w:t>
      </w:r>
    </w:p>
    <w:p w14:paraId="1E00CE62" w14:textId="77777777" w:rsidR="00474064" w:rsidRPr="009744F4" w:rsidRDefault="00474064" w:rsidP="00CB4E99">
      <w:pPr>
        <w:spacing w:line="276" w:lineRule="auto"/>
        <w:rPr>
          <w:rFonts w:ascii="Open Sans Light" w:hAnsi="Open Sans Light" w:cs="Open Sans Light"/>
          <w:b/>
        </w:rPr>
      </w:pPr>
    </w:p>
    <w:p w14:paraId="1FFA4823" w14:textId="77777777" w:rsidR="00CB4E99" w:rsidRPr="009744F4" w:rsidRDefault="00F90568" w:rsidP="00CB4E99">
      <w:pPr>
        <w:spacing w:line="276" w:lineRule="auto"/>
        <w:rPr>
          <w:rFonts w:ascii="Open Sans Light" w:hAnsi="Open Sans Light" w:cs="Open Sans Light"/>
        </w:rPr>
      </w:pPr>
      <w:r w:rsidRPr="009744F4">
        <w:rPr>
          <w:rFonts w:ascii="Open Sans Light" w:hAnsi="Open Sans Light" w:cs="Open Sans Light"/>
          <w:b/>
        </w:rPr>
        <w:t>Numer</w:t>
      </w:r>
      <w:r w:rsidR="00CB4E99" w:rsidRPr="009744F4">
        <w:rPr>
          <w:rFonts w:ascii="Open Sans Light" w:hAnsi="Open Sans Light" w:cs="Open Sans Light"/>
          <w:b/>
        </w:rPr>
        <w:t xml:space="preserve"> </w:t>
      </w:r>
      <w:r w:rsidR="00652569" w:rsidRPr="009744F4">
        <w:rPr>
          <w:rFonts w:ascii="Open Sans Light" w:hAnsi="Open Sans Light" w:cs="Open Sans Light"/>
          <w:b/>
        </w:rPr>
        <w:t>wniosku w systemie CST</w:t>
      </w:r>
      <w:r w:rsidR="00CB4E99" w:rsidRPr="009744F4">
        <w:rPr>
          <w:rFonts w:ascii="Open Sans Light" w:hAnsi="Open Sans Light" w:cs="Open Sans Light"/>
          <w:b/>
        </w:rPr>
        <w:t>; data złożenia</w:t>
      </w:r>
      <w:r w:rsidRPr="009744F4">
        <w:rPr>
          <w:rFonts w:ascii="Open Sans Light" w:hAnsi="Open Sans Light" w:cs="Open Sans Light"/>
          <w:b/>
        </w:rPr>
        <w:t xml:space="preserve">: </w:t>
      </w:r>
      <w:r w:rsidR="00CB4E99" w:rsidRPr="006925DD">
        <w:rPr>
          <w:rFonts w:ascii="Open Sans Light" w:hAnsi="Open Sans Light" w:cs="Open Sans Light"/>
          <w:bCs/>
        </w:rPr>
        <w:t>……..………………………………………...</w:t>
      </w:r>
    </w:p>
    <w:p w14:paraId="5FAE1DEF" w14:textId="77777777" w:rsidR="00C220EB" w:rsidRPr="00E55F86" w:rsidRDefault="00C220EB" w:rsidP="00C220EB">
      <w:pPr>
        <w:spacing w:line="276" w:lineRule="auto"/>
        <w:rPr>
          <w:rFonts w:ascii="Open Sans Light" w:hAnsi="Open Sans Light" w:cs="Open Sans Light"/>
          <w:sz w:val="20"/>
          <w:szCs w:val="20"/>
        </w:rPr>
      </w:pPr>
    </w:p>
    <w:p w14:paraId="35BF5502" w14:textId="77777777" w:rsidR="00D008AE" w:rsidRPr="00E55F86" w:rsidRDefault="00D008AE" w:rsidP="00C220EB">
      <w:pPr>
        <w:spacing w:line="276" w:lineRule="auto"/>
        <w:rPr>
          <w:rFonts w:ascii="Open Sans Light" w:hAnsi="Open Sans Light" w:cs="Open Sans Light"/>
          <w:sz w:val="20"/>
          <w:szCs w:val="20"/>
        </w:rPr>
      </w:pPr>
    </w:p>
    <w:p w14:paraId="082CF8E2" w14:textId="77777777" w:rsidR="0089168C" w:rsidRPr="00E55F86" w:rsidRDefault="0089168C" w:rsidP="00C220EB">
      <w:pPr>
        <w:spacing w:line="276" w:lineRule="auto"/>
        <w:rPr>
          <w:rFonts w:ascii="Open Sans Light" w:hAnsi="Open Sans Light" w:cs="Open Sans Light"/>
          <w:sz w:val="20"/>
          <w:szCs w:val="20"/>
        </w:rPr>
      </w:pPr>
    </w:p>
    <w:p w14:paraId="4054B0B2" w14:textId="77777777" w:rsidR="0089168C" w:rsidRPr="00E55F86" w:rsidRDefault="0089168C" w:rsidP="00C220EB">
      <w:pPr>
        <w:spacing w:line="276" w:lineRule="auto"/>
        <w:rPr>
          <w:rFonts w:ascii="Open Sans Light" w:hAnsi="Open Sans Light" w:cs="Open Sans Light"/>
          <w:sz w:val="20"/>
          <w:szCs w:val="20"/>
        </w:rPr>
      </w:pPr>
    </w:p>
    <w:p w14:paraId="0C0B7828" w14:textId="77777777" w:rsidR="0089168C" w:rsidRPr="00E55F86" w:rsidRDefault="0089168C" w:rsidP="00C220EB">
      <w:pPr>
        <w:spacing w:line="276" w:lineRule="auto"/>
        <w:rPr>
          <w:rFonts w:ascii="Open Sans Light" w:hAnsi="Open Sans Light" w:cs="Open Sans Light"/>
          <w:sz w:val="20"/>
          <w:szCs w:val="20"/>
        </w:rPr>
      </w:pPr>
    </w:p>
    <w:p w14:paraId="2F0D41B1" w14:textId="77777777" w:rsidR="00E65B5B" w:rsidRPr="00E55F86" w:rsidRDefault="00E65B5B" w:rsidP="00C220EB">
      <w:pPr>
        <w:spacing w:line="276" w:lineRule="auto"/>
        <w:rPr>
          <w:rFonts w:ascii="Open Sans Light" w:hAnsi="Open Sans Light" w:cs="Open Sans Light"/>
          <w:sz w:val="20"/>
          <w:szCs w:val="20"/>
        </w:rPr>
      </w:pPr>
    </w:p>
    <w:p w14:paraId="2A9DEEC1" w14:textId="18C5A2AC" w:rsidR="00E65B5B" w:rsidRDefault="00E65B5B" w:rsidP="00C220EB">
      <w:pPr>
        <w:spacing w:line="276" w:lineRule="auto"/>
        <w:rPr>
          <w:rFonts w:ascii="Open Sans Light" w:hAnsi="Open Sans Light" w:cs="Open Sans Light"/>
          <w:sz w:val="20"/>
          <w:szCs w:val="20"/>
        </w:rPr>
      </w:pPr>
    </w:p>
    <w:p w14:paraId="70FE53F5" w14:textId="2FBFC9DE" w:rsidR="00387806" w:rsidRDefault="00387806" w:rsidP="00C220EB">
      <w:pPr>
        <w:spacing w:line="276" w:lineRule="auto"/>
        <w:rPr>
          <w:rFonts w:ascii="Open Sans Light" w:hAnsi="Open Sans Light" w:cs="Open Sans Light"/>
          <w:sz w:val="20"/>
          <w:szCs w:val="20"/>
        </w:rPr>
      </w:pPr>
    </w:p>
    <w:p w14:paraId="6BB00896" w14:textId="122EC4C3" w:rsidR="00387806" w:rsidRDefault="00387806" w:rsidP="00C220EB">
      <w:pPr>
        <w:spacing w:line="276" w:lineRule="auto"/>
        <w:rPr>
          <w:rFonts w:ascii="Open Sans Light" w:hAnsi="Open Sans Light" w:cs="Open Sans Light"/>
          <w:sz w:val="20"/>
          <w:szCs w:val="20"/>
        </w:rPr>
      </w:pPr>
    </w:p>
    <w:p w14:paraId="273F2B2F" w14:textId="77777777" w:rsidR="00387806" w:rsidRPr="00E55F86" w:rsidRDefault="00387806" w:rsidP="00C220EB">
      <w:pPr>
        <w:spacing w:line="276" w:lineRule="auto"/>
        <w:rPr>
          <w:rFonts w:ascii="Open Sans Light" w:hAnsi="Open Sans Light" w:cs="Open Sans Light"/>
          <w:sz w:val="20"/>
          <w:szCs w:val="20"/>
        </w:rPr>
      </w:pPr>
    </w:p>
    <w:p w14:paraId="07DD3896" w14:textId="77777777" w:rsidR="00E65B5B" w:rsidRPr="00E55F86" w:rsidRDefault="00E65B5B" w:rsidP="00C220EB">
      <w:pPr>
        <w:spacing w:line="276" w:lineRule="auto"/>
        <w:rPr>
          <w:rFonts w:ascii="Open Sans Light" w:hAnsi="Open Sans Light" w:cs="Open Sans Light"/>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497"/>
        <w:gridCol w:w="2337"/>
        <w:gridCol w:w="3926"/>
        <w:gridCol w:w="4462"/>
        <w:gridCol w:w="984"/>
        <w:gridCol w:w="2928"/>
      </w:tblGrid>
      <w:tr w:rsidR="00EE6259" w:rsidRPr="00E55F86" w14:paraId="24214F16" w14:textId="77777777" w:rsidTr="008A58C1">
        <w:trPr>
          <w:trHeight w:val="313"/>
        </w:trPr>
        <w:tc>
          <w:tcPr>
            <w:tcW w:w="497" w:type="dxa"/>
          </w:tcPr>
          <w:p w14:paraId="4CD07722"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Lp.</w:t>
            </w:r>
          </w:p>
        </w:tc>
        <w:tc>
          <w:tcPr>
            <w:tcW w:w="2337" w:type="dxa"/>
          </w:tcPr>
          <w:p w14:paraId="747726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Kryterium</w:t>
            </w:r>
          </w:p>
        </w:tc>
        <w:tc>
          <w:tcPr>
            <w:tcW w:w="3926" w:type="dxa"/>
          </w:tcPr>
          <w:p w14:paraId="1A07EE3E"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Zasady oceny</w:t>
            </w:r>
          </w:p>
        </w:tc>
        <w:tc>
          <w:tcPr>
            <w:tcW w:w="4462" w:type="dxa"/>
          </w:tcPr>
          <w:p w14:paraId="3D4B91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Punktacja</w:t>
            </w:r>
          </w:p>
        </w:tc>
        <w:tc>
          <w:tcPr>
            <w:tcW w:w="984" w:type="dxa"/>
          </w:tcPr>
          <w:p w14:paraId="1714C2FB"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Wynik</w:t>
            </w:r>
          </w:p>
        </w:tc>
        <w:tc>
          <w:tcPr>
            <w:tcW w:w="2928" w:type="dxa"/>
          </w:tcPr>
          <w:p w14:paraId="1288C604"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Uzasadnienie</w:t>
            </w:r>
          </w:p>
        </w:tc>
      </w:tr>
      <w:tr w:rsidR="00E55F86" w:rsidRPr="00E55F86" w14:paraId="39FCCC55" w14:textId="77777777" w:rsidTr="00156550">
        <w:trPr>
          <w:trHeight w:val="313"/>
        </w:trPr>
        <w:tc>
          <w:tcPr>
            <w:tcW w:w="15134" w:type="dxa"/>
            <w:gridSpan w:val="6"/>
          </w:tcPr>
          <w:p w14:paraId="2CE3CB58" w14:textId="77777777" w:rsidR="00E55F86" w:rsidRPr="00E55F86" w:rsidRDefault="00E55F86"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specyficzne</w:t>
            </w:r>
          </w:p>
        </w:tc>
      </w:tr>
      <w:tr w:rsidR="0088258A" w:rsidRPr="00E55F86" w14:paraId="488F8596" w14:textId="77777777" w:rsidTr="00A76A7D">
        <w:trPr>
          <w:trHeight w:val="1545"/>
        </w:trPr>
        <w:tc>
          <w:tcPr>
            <w:tcW w:w="497" w:type="dxa"/>
            <w:tcBorders>
              <w:top w:val="single" w:sz="4" w:space="0" w:color="000000"/>
              <w:left w:val="single" w:sz="4" w:space="0" w:color="000000"/>
              <w:bottom w:val="single" w:sz="4" w:space="0" w:color="000000"/>
            </w:tcBorders>
          </w:tcPr>
          <w:p w14:paraId="323798CB"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t>1</w:t>
            </w:r>
          </w:p>
        </w:tc>
        <w:tc>
          <w:tcPr>
            <w:tcW w:w="2337" w:type="dxa"/>
          </w:tcPr>
          <w:p w14:paraId="19ED7B44" w14:textId="052B85A8" w:rsidR="0088258A" w:rsidRPr="0088258A" w:rsidRDefault="0088258A" w:rsidP="0088258A">
            <w:pPr>
              <w:tabs>
                <w:tab w:val="left" w:pos="0"/>
              </w:tabs>
              <w:snapToGrid w:val="0"/>
              <w:spacing w:before="120" w:after="120"/>
              <w:rPr>
                <w:rFonts w:ascii="Open Sans" w:hAnsi="Open Sans" w:cs="Open Sans"/>
                <w:sz w:val="20"/>
                <w:szCs w:val="20"/>
                <w:lang w:eastAsia="ar-SA"/>
              </w:rPr>
            </w:pPr>
            <w:r w:rsidRPr="0088258A">
              <w:rPr>
                <w:rFonts w:ascii="Open Sans" w:hAnsi="Open Sans" w:cs="Open Sans"/>
                <w:sz w:val="20"/>
                <w:szCs w:val="20"/>
              </w:rPr>
              <w:t xml:space="preserve">Zakładana masa pozyskanej żywności w pierwszym roku po zakończeniu realizacji projektu </w:t>
            </w:r>
          </w:p>
        </w:tc>
        <w:tc>
          <w:tcPr>
            <w:tcW w:w="3926" w:type="dxa"/>
          </w:tcPr>
          <w:p w14:paraId="71B33207"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W ramach kryterium oceniana jest masa pozyskanej żywności, która będzie dostarczana do banku żywności lub organizacji beneficjenta. Punktem odniesienia jest pierwszy rok kalendarzowy po zakończeniu realizacji inwestycji. </w:t>
            </w:r>
          </w:p>
          <w:p w14:paraId="0652293F" w14:textId="029338FF" w:rsidR="0088258A" w:rsidRPr="0088258A" w:rsidRDefault="0088258A" w:rsidP="0088258A">
            <w:pPr>
              <w:tabs>
                <w:tab w:val="left" w:pos="-148"/>
              </w:tabs>
              <w:snapToGrid w:val="0"/>
              <w:spacing w:before="120" w:after="120"/>
              <w:jc w:val="both"/>
              <w:rPr>
                <w:rFonts w:ascii="Open Sans" w:hAnsi="Open Sans" w:cs="Open Sans"/>
                <w:sz w:val="20"/>
                <w:szCs w:val="20"/>
                <w:lang w:eastAsia="ar-SA"/>
              </w:rPr>
            </w:pPr>
            <w:r w:rsidRPr="0088258A">
              <w:rPr>
                <w:rFonts w:ascii="Open Sans" w:hAnsi="Open Sans" w:cs="Open Sans"/>
                <w:sz w:val="20"/>
                <w:szCs w:val="20"/>
              </w:rPr>
              <w:t xml:space="preserve">W przypadku projektów dotyczących modernizacji działalności istniejących podmiotów, masa dotyczy prognozowanego zwiększenia masy wskutek realizacji projektu. </w:t>
            </w:r>
          </w:p>
        </w:tc>
        <w:tc>
          <w:tcPr>
            <w:tcW w:w="4462" w:type="dxa"/>
          </w:tcPr>
          <w:p w14:paraId="64FE4B40"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30 pkt. – powyżej 100 Mg/rok </w:t>
            </w:r>
          </w:p>
          <w:p w14:paraId="0A99D46F"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22 pkt. – powyżej 50 Mg/rok – 100 Mg/rok (włącznie) </w:t>
            </w:r>
          </w:p>
          <w:p w14:paraId="4A776C4F"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15 pkt. – powyżej 20 Mg/rok – 50 Mg/rok (włącznie) </w:t>
            </w:r>
          </w:p>
          <w:p w14:paraId="6282DF33"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10 pkt. – powyżej 10 Mg/rok - 20 Mg/rok (włącznie) </w:t>
            </w:r>
          </w:p>
          <w:p w14:paraId="51B992D3"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5 pkt. – od 3 do 10 Mg/rok (włącznie) </w:t>
            </w:r>
          </w:p>
          <w:p w14:paraId="7E493BC4" w14:textId="574286B0" w:rsidR="0088258A" w:rsidRPr="0088258A" w:rsidRDefault="0088258A" w:rsidP="0088258A">
            <w:pPr>
              <w:tabs>
                <w:tab w:val="left" w:pos="0"/>
              </w:tabs>
              <w:snapToGrid w:val="0"/>
              <w:spacing w:before="120" w:after="120"/>
              <w:rPr>
                <w:rFonts w:ascii="Open Sans" w:hAnsi="Open Sans" w:cs="Open Sans"/>
                <w:sz w:val="20"/>
                <w:szCs w:val="20"/>
                <w:lang w:eastAsia="ar-SA"/>
              </w:rPr>
            </w:pPr>
            <w:r w:rsidRPr="0088258A">
              <w:rPr>
                <w:rFonts w:ascii="Open Sans" w:hAnsi="Open Sans" w:cs="Open Sans"/>
                <w:sz w:val="20"/>
                <w:szCs w:val="20"/>
              </w:rPr>
              <w:t xml:space="preserve">0 pkt. – poniżej 3 Mg/rok. </w:t>
            </w:r>
          </w:p>
        </w:tc>
        <w:tc>
          <w:tcPr>
            <w:tcW w:w="984" w:type="dxa"/>
            <w:tcBorders>
              <w:top w:val="single" w:sz="4" w:space="0" w:color="000000"/>
              <w:left w:val="single" w:sz="4" w:space="0" w:color="000000"/>
              <w:bottom w:val="single" w:sz="4" w:space="0" w:color="000000"/>
              <w:right w:val="single" w:sz="4" w:space="0" w:color="000000"/>
            </w:tcBorders>
            <w:vAlign w:val="center"/>
          </w:tcPr>
          <w:p w14:paraId="5A86C81C"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7FB7C863"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28A1EFB" w14:textId="77777777" w:rsidTr="005F5A27">
        <w:trPr>
          <w:trHeight w:val="313"/>
        </w:trPr>
        <w:tc>
          <w:tcPr>
            <w:tcW w:w="497" w:type="dxa"/>
            <w:tcBorders>
              <w:top w:val="single" w:sz="4" w:space="0" w:color="000000"/>
              <w:left w:val="single" w:sz="4" w:space="0" w:color="000000"/>
              <w:bottom w:val="single" w:sz="4" w:space="0" w:color="000000"/>
            </w:tcBorders>
          </w:tcPr>
          <w:p w14:paraId="45049CA4"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t>2</w:t>
            </w:r>
          </w:p>
        </w:tc>
        <w:tc>
          <w:tcPr>
            <w:tcW w:w="2337" w:type="dxa"/>
          </w:tcPr>
          <w:p w14:paraId="5CFA0E8D" w14:textId="42BFDB71" w:rsidR="0088258A" w:rsidRPr="0088258A" w:rsidRDefault="0088258A" w:rsidP="0088258A">
            <w:pPr>
              <w:tabs>
                <w:tab w:val="left" w:pos="0"/>
              </w:tabs>
              <w:snapToGrid w:val="0"/>
              <w:spacing w:before="120" w:after="120"/>
              <w:rPr>
                <w:rFonts w:ascii="Open Sans" w:hAnsi="Open Sans" w:cs="Open Sans"/>
                <w:sz w:val="20"/>
                <w:szCs w:val="20"/>
                <w:lang w:eastAsia="ar-SA"/>
              </w:rPr>
            </w:pPr>
            <w:r w:rsidRPr="0088258A">
              <w:rPr>
                <w:rFonts w:ascii="Open Sans" w:hAnsi="Open Sans" w:cs="Open Sans"/>
                <w:sz w:val="20"/>
                <w:szCs w:val="20"/>
              </w:rPr>
              <w:t xml:space="preserve">Liczba instytucji, z którymi prowadzona będzie w pierwszym roku po zakończeniu realizacji inwestycji stała współpraca w zakresie pozyskiwania żywności </w:t>
            </w:r>
          </w:p>
        </w:tc>
        <w:tc>
          <w:tcPr>
            <w:tcW w:w="3926" w:type="dxa"/>
          </w:tcPr>
          <w:p w14:paraId="555255B7"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W ramach kryterium oceniana jest liczba instytucji – darczyńców, którzy będą dostarczać żywność do banku żywności lub organizacji beneficjenta. Punktem odniesienia jest pierwszy rok kalendarzowy po zakończeniu realizacji inwestycji. </w:t>
            </w:r>
          </w:p>
          <w:p w14:paraId="12E986BE" w14:textId="52AF3B40" w:rsidR="0088258A" w:rsidRPr="0088258A" w:rsidRDefault="0088258A" w:rsidP="0088258A">
            <w:pPr>
              <w:tabs>
                <w:tab w:val="left" w:pos="-148"/>
              </w:tabs>
              <w:snapToGrid w:val="0"/>
              <w:spacing w:before="120" w:after="120"/>
              <w:jc w:val="both"/>
              <w:rPr>
                <w:rFonts w:ascii="Open Sans" w:hAnsi="Open Sans" w:cs="Open Sans"/>
                <w:sz w:val="20"/>
                <w:szCs w:val="20"/>
                <w:lang w:eastAsia="ar-SA"/>
              </w:rPr>
            </w:pPr>
            <w:r w:rsidRPr="0088258A">
              <w:rPr>
                <w:rFonts w:ascii="Open Sans" w:hAnsi="Open Sans" w:cs="Open Sans"/>
                <w:sz w:val="20"/>
                <w:szCs w:val="20"/>
              </w:rPr>
              <w:t xml:space="preserve">W przypadku projektów dotyczących modernizacji istniejących banków żywności liczba dotyczy prognozowanego zwiększenia liczby darczyńców wskutek realizacji projektu. </w:t>
            </w:r>
          </w:p>
        </w:tc>
        <w:tc>
          <w:tcPr>
            <w:tcW w:w="4462" w:type="dxa"/>
          </w:tcPr>
          <w:p w14:paraId="2780E410"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24 pkt. – 7 i więcej </w:t>
            </w:r>
          </w:p>
          <w:p w14:paraId="16B9FD2D"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18 pkt. – 4-6 </w:t>
            </w:r>
          </w:p>
          <w:p w14:paraId="78326622"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10 pkt. – 1-3 </w:t>
            </w:r>
          </w:p>
          <w:p w14:paraId="40852ECC"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0 pkt. – brak zapewnionych stałych dostawców lub brak formalnych zapewnień w tym względzie (deklaracje, umowy) </w:t>
            </w:r>
          </w:p>
          <w:p w14:paraId="0D6A0C0B" w14:textId="5061191B" w:rsidR="0088258A" w:rsidRPr="0088258A" w:rsidRDefault="0088258A" w:rsidP="0088258A">
            <w:pPr>
              <w:tabs>
                <w:tab w:val="left" w:pos="0"/>
              </w:tabs>
              <w:spacing w:before="120" w:after="120"/>
              <w:rPr>
                <w:rFonts w:ascii="Open Sans" w:hAnsi="Open Sans" w:cs="Open Sans"/>
                <w:sz w:val="20"/>
                <w:szCs w:val="20"/>
                <w:lang w:eastAsia="ar-SA"/>
              </w:rPr>
            </w:pPr>
            <w:r w:rsidRPr="0088258A">
              <w:rPr>
                <w:rFonts w:ascii="Open Sans" w:hAnsi="Open Sans" w:cs="Open Sans"/>
                <w:sz w:val="20"/>
                <w:szCs w:val="20"/>
              </w:rPr>
              <w:t xml:space="preserve">Punkty nie sumują się </w:t>
            </w:r>
          </w:p>
        </w:tc>
        <w:tc>
          <w:tcPr>
            <w:tcW w:w="984" w:type="dxa"/>
            <w:tcBorders>
              <w:top w:val="single" w:sz="4" w:space="0" w:color="000000"/>
              <w:left w:val="single" w:sz="4" w:space="0" w:color="000000"/>
              <w:bottom w:val="single" w:sz="4" w:space="0" w:color="000000"/>
              <w:right w:val="single" w:sz="4" w:space="0" w:color="000000"/>
            </w:tcBorders>
            <w:vAlign w:val="center"/>
          </w:tcPr>
          <w:p w14:paraId="385CC7E8"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5A6DD4D0"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0847CD5" w14:textId="77777777" w:rsidTr="005D23AC">
        <w:trPr>
          <w:trHeight w:val="313"/>
        </w:trPr>
        <w:tc>
          <w:tcPr>
            <w:tcW w:w="497" w:type="dxa"/>
          </w:tcPr>
          <w:p w14:paraId="47D360D8" w14:textId="77777777" w:rsidR="0088258A" w:rsidRPr="0088258A" w:rsidRDefault="0088258A" w:rsidP="0088258A">
            <w:pPr>
              <w:spacing w:line="276" w:lineRule="auto"/>
              <w:rPr>
                <w:rFonts w:ascii="Open Sans" w:hAnsi="Open Sans" w:cs="Open Sans"/>
                <w:b/>
                <w:sz w:val="20"/>
                <w:szCs w:val="20"/>
              </w:rPr>
            </w:pPr>
            <w:r w:rsidRPr="0088258A">
              <w:rPr>
                <w:rFonts w:ascii="Open Sans" w:hAnsi="Open Sans" w:cs="Open Sans"/>
                <w:b/>
                <w:sz w:val="20"/>
                <w:szCs w:val="20"/>
              </w:rPr>
              <w:t>3</w:t>
            </w:r>
          </w:p>
        </w:tc>
        <w:tc>
          <w:tcPr>
            <w:tcW w:w="2337" w:type="dxa"/>
          </w:tcPr>
          <w:p w14:paraId="13371A42" w14:textId="47FD63DB" w:rsidR="0088258A" w:rsidRPr="0088258A" w:rsidRDefault="0088258A" w:rsidP="0088258A">
            <w:pPr>
              <w:pStyle w:val="Tekstpodstawowy"/>
              <w:widowControl w:val="0"/>
              <w:tabs>
                <w:tab w:val="left" w:pos="0"/>
              </w:tabs>
              <w:snapToGrid w:val="0"/>
              <w:spacing w:before="120" w:after="120"/>
              <w:jc w:val="left"/>
              <w:rPr>
                <w:rFonts w:ascii="Open Sans" w:hAnsi="Open Sans" w:cs="Open Sans"/>
                <w:sz w:val="20"/>
                <w:szCs w:val="20"/>
              </w:rPr>
            </w:pPr>
            <w:r w:rsidRPr="0088258A">
              <w:rPr>
                <w:rFonts w:ascii="Open Sans" w:hAnsi="Open Sans" w:cs="Open Sans"/>
                <w:sz w:val="20"/>
                <w:szCs w:val="20"/>
              </w:rPr>
              <w:t xml:space="preserve">Liczba instytucji, z którymi prowadzona </w:t>
            </w:r>
            <w:r w:rsidRPr="0088258A">
              <w:rPr>
                <w:rFonts w:ascii="Open Sans" w:hAnsi="Open Sans" w:cs="Open Sans"/>
                <w:sz w:val="20"/>
                <w:szCs w:val="20"/>
              </w:rPr>
              <w:lastRenderedPageBreak/>
              <w:t xml:space="preserve">będzie w pierwszym roku po zakończeniu realizacji inwestycji współpraca w zakresie dystrybucji zebranej żywności </w:t>
            </w:r>
          </w:p>
        </w:tc>
        <w:tc>
          <w:tcPr>
            <w:tcW w:w="3926" w:type="dxa"/>
          </w:tcPr>
          <w:p w14:paraId="5EECAC70"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lastRenderedPageBreak/>
              <w:t xml:space="preserve">W ramach kryterium oceniana jest liczba instytucji – odbiorców, którzy będą odbierać żywność z banku </w:t>
            </w:r>
            <w:r w:rsidRPr="0088258A">
              <w:rPr>
                <w:rFonts w:ascii="Open Sans" w:hAnsi="Open Sans" w:cs="Open Sans"/>
                <w:sz w:val="20"/>
                <w:szCs w:val="20"/>
              </w:rPr>
              <w:lastRenderedPageBreak/>
              <w:t xml:space="preserve">żywności lub organizacji beneficjenta. Punktem odniesienia jest pierwszy rok kalendarzowy po zakończeniu realizacji inwestycji. </w:t>
            </w:r>
          </w:p>
          <w:p w14:paraId="541B926A" w14:textId="38A02366" w:rsidR="0088258A" w:rsidRPr="0088258A" w:rsidRDefault="0088258A" w:rsidP="0088258A">
            <w:pPr>
              <w:pStyle w:val="Tekstpodstawowy"/>
              <w:widowControl w:val="0"/>
              <w:tabs>
                <w:tab w:val="left" w:pos="0"/>
              </w:tabs>
              <w:snapToGrid w:val="0"/>
              <w:spacing w:before="120" w:after="120"/>
              <w:ind w:hanging="102"/>
              <w:jc w:val="left"/>
              <w:rPr>
                <w:rFonts w:ascii="Open Sans" w:hAnsi="Open Sans" w:cs="Open Sans"/>
                <w:sz w:val="20"/>
                <w:szCs w:val="20"/>
              </w:rPr>
            </w:pPr>
            <w:r w:rsidRPr="0088258A">
              <w:rPr>
                <w:rFonts w:ascii="Open Sans" w:hAnsi="Open Sans" w:cs="Open Sans"/>
                <w:sz w:val="20"/>
                <w:szCs w:val="20"/>
              </w:rPr>
              <w:t xml:space="preserve">W przypadku projektów dotyczących modernizacji działalności istniejących podmiotów, liczba dotyczy prognozowanego zwiększenia liczby odbiorców wskutek realizacji projektu. </w:t>
            </w:r>
          </w:p>
        </w:tc>
        <w:tc>
          <w:tcPr>
            <w:tcW w:w="4462" w:type="dxa"/>
          </w:tcPr>
          <w:p w14:paraId="727ACA4E"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lastRenderedPageBreak/>
              <w:t xml:space="preserve">24 pkt. – powyżej 20 </w:t>
            </w:r>
          </w:p>
          <w:p w14:paraId="6BB012C3"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18 pkt. – 6-20 (włącznie) </w:t>
            </w:r>
          </w:p>
          <w:p w14:paraId="5CCCA991"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10 pkt. – 3-5 (włącznie) </w:t>
            </w:r>
          </w:p>
          <w:p w14:paraId="3291FAB7"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lastRenderedPageBreak/>
              <w:t xml:space="preserve">0 pkt. – poniżej 3 </w:t>
            </w:r>
          </w:p>
          <w:p w14:paraId="4C47725B" w14:textId="254C0C8F" w:rsidR="0088258A" w:rsidRPr="0088258A" w:rsidRDefault="0088258A" w:rsidP="0088258A">
            <w:pPr>
              <w:pStyle w:val="Tekstpodstawowy"/>
              <w:widowControl w:val="0"/>
              <w:tabs>
                <w:tab w:val="left" w:pos="0"/>
              </w:tabs>
              <w:spacing w:before="120" w:after="120"/>
              <w:rPr>
                <w:rFonts w:ascii="Open Sans" w:hAnsi="Open Sans" w:cs="Open Sans"/>
                <w:sz w:val="20"/>
                <w:szCs w:val="20"/>
              </w:rPr>
            </w:pPr>
            <w:r w:rsidRPr="0088258A">
              <w:rPr>
                <w:rFonts w:ascii="Open Sans" w:hAnsi="Open Sans" w:cs="Open Sans"/>
                <w:sz w:val="20"/>
                <w:szCs w:val="20"/>
              </w:rPr>
              <w:t xml:space="preserve">Punkty nie sumują się </w:t>
            </w:r>
          </w:p>
        </w:tc>
        <w:tc>
          <w:tcPr>
            <w:tcW w:w="984" w:type="dxa"/>
            <w:tcBorders>
              <w:top w:val="single" w:sz="4" w:space="0" w:color="000000"/>
              <w:left w:val="single" w:sz="4" w:space="0" w:color="000000"/>
              <w:bottom w:val="single" w:sz="4" w:space="0" w:color="000000"/>
            </w:tcBorders>
            <w:vAlign w:val="center"/>
          </w:tcPr>
          <w:p w14:paraId="6BFAE087" w14:textId="77777777" w:rsidR="0088258A" w:rsidRPr="00E55F86" w:rsidRDefault="0088258A"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2848239"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6422B4C7" w14:textId="77777777" w:rsidTr="005008F2">
        <w:trPr>
          <w:trHeight w:val="313"/>
        </w:trPr>
        <w:tc>
          <w:tcPr>
            <w:tcW w:w="497" w:type="dxa"/>
          </w:tcPr>
          <w:p w14:paraId="75B5ACBA" w14:textId="0BE6525B" w:rsidR="0088258A" w:rsidRPr="0088258A" w:rsidRDefault="0088258A" w:rsidP="0088258A">
            <w:pPr>
              <w:spacing w:line="276" w:lineRule="auto"/>
              <w:jc w:val="center"/>
              <w:rPr>
                <w:rFonts w:ascii="Open Sans" w:hAnsi="Open Sans" w:cs="Open Sans"/>
                <w:b/>
                <w:sz w:val="20"/>
                <w:szCs w:val="20"/>
              </w:rPr>
            </w:pPr>
            <w:r w:rsidRPr="0088258A">
              <w:rPr>
                <w:rFonts w:ascii="Open Sans" w:hAnsi="Open Sans" w:cs="Open Sans"/>
                <w:b/>
                <w:sz w:val="20"/>
                <w:szCs w:val="20"/>
              </w:rPr>
              <w:t>4</w:t>
            </w:r>
          </w:p>
        </w:tc>
        <w:tc>
          <w:tcPr>
            <w:tcW w:w="2337" w:type="dxa"/>
          </w:tcPr>
          <w:p w14:paraId="55B041FF" w14:textId="6EF7F819" w:rsidR="0088258A" w:rsidRPr="0088258A" w:rsidRDefault="0088258A" w:rsidP="0088258A">
            <w:pPr>
              <w:pStyle w:val="Tekstpodstawowy"/>
              <w:widowControl w:val="0"/>
              <w:tabs>
                <w:tab w:val="left" w:pos="0"/>
              </w:tabs>
              <w:snapToGrid w:val="0"/>
              <w:spacing w:before="120" w:after="120"/>
              <w:jc w:val="left"/>
              <w:rPr>
                <w:rFonts w:ascii="Open Sans" w:hAnsi="Open Sans" w:cs="Open Sans"/>
                <w:sz w:val="20"/>
                <w:szCs w:val="20"/>
              </w:rPr>
            </w:pPr>
            <w:r w:rsidRPr="0088258A">
              <w:rPr>
                <w:rFonts w:ascii="Open Sans" w:hAnsi="Open Sans" w:cs="Open Sans"/>
                <w:sz w:val="20"/>
                <w:szCs w:val="20"/>
              </w:rPr>
              <w:t xml:space="preserve">Liczba instytucji w gminach o wskaźniku dochodów podatkowych gminy niższych od średniej krajowej, z którymi prowadzona będzie w pierwszym roku po zakończeniu realizacji inwestycji współpraca w zakresie dystrybucji zebranej żywności </w:t>
            </w:r>
          </w:p>
        </w:tc>
        <w:tc>
          <w:tcPr>
            <w:tcW w:w="3926" w:type="dxa"/>
          </w:tcPr>
          <w:p w14:paraId="39F5BF88"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W ramach kryterium oceniana jest liczba instytucji – odbiorców posiadających siedzibę w gminach o wskaźniku dochodów podatkowych gminy niższych od średniej krajowej, którzy będą odbierać żywność z banku żywności lub organizacji beneficjenta. </w:t>
            </w:r>
          </w:p>
          <w:p w14:paraId="23C1A657"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Gminy, w których będą instytucje – odbiorcy, z którymi będzie prowadzona współpraca powinny być wskazane dla pierwszego roku kalendarzowego po zakończeniu realizacji inwestycji (wraz z właściwą liczbą instytucji - odbiorców). Punktem odniesienia dla wskaźnika dochodów podatkowych jest rok poprzedzający złożenie wniosku o dofinansowanie. </w:t>
            </w:r>
          </w:p>
          <w:p w14:paraId="65E0C4B4" w14:textId="57171A97" w:rsidR="0088258A" w:rsidRPr="0088258A" w:rsidRDefault="0088258A" w:rsidP="0088258A">
            <w:pPr>
              <w:pStyle w:val="Tekstpodstawowy"/>
              <w:widowControl w:val="0"/>
              <w:tabs>
                <w:tab w:val="left" w:pos="-6"/>
              </w:tabs>
              <w:snapToGrid w:val="0"/>
              <w:spacing w:before="120" w:after="120"/>
              <w:ind w:hanging="6"/>
              <w:rPr>
                <w:rFonts w:ascii="Open Sans" w:hAnsi="Open Sans" w:cs="Open Sans"/>
                <w:sz w:val="20"/>
                <w:szCs w:val="20"/>
              </w:rPr>
            </w:pPr>
            <w:r w:rsidRPr="0088258A">
              <w:rPr>
                <w:rFonts w:ascii="Open Sans" w:hAnsi="Open Sans" w:cs="Open Sans"/>
                <w:sz w:val="20"/>
                <w:szCs w:val="20"/>
              </w:rPr>
              <w:t xml:space="preserve">W przypadku projektów dotyczących modernizacji działalności istniejących podmiotów, liczba dotyczy prognozowanego zwiększenia liczby odbiorców wskutek realizacji projektu. </w:t>
            </w:r>
          </w:p>
        </w:tc>
        <w:tc>
          <w:tcPr>
            <w:tcW w:w="4462" w:type="dxa"/>
          </w:tcPr>
          <w:p w14:paraId="2C63FB88"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7 pkt. – powyżej 8 </w:t>
            </w:r>
          </w:p>
          <w:p w14:paraId="12B560BC"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5 pkt. – 4-8 (włącznie) </w:t>
            </w:r>
          </w:p>
          <w:p w14:paraId="534CB4FB"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3 pkt. – 2-3 (włącznie) </w:t>
            </w:r>
          </w:p>
          <w:p w14:paraId="40C7F33A"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 pkt. – 1 </w:t>
            </w:r>
          </w:p>
          <w:p w14:paraId="51CABD14"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0 pkt. – 0 </w:t>
            </w:r>
          </w:p>
          <w:p w14:paraId="3D834BF2" w14:textId="69C48D44" w:rsidR="0088258A" w:rsidRPr="0088258A" w:rsidRDefault="0088258A" w:rsidP="0088258A">
            <w:pPr>
              <w:pStyle w:val="Tekstpodstawowy"/>
              <w:widowControl w:val="0"/>
              <w:tabs>
                <w:tab w:val="left" w:pos="0"/>
              </w:tabs>
              <w:snapToGrid w:val="0"/>
              <w:spacing w:before="120" w:after="120"/>
              <w:rPr>
                <w:rFonts w:ascii="Open Sans" w:hAnsi="Open Sans" w:cs="Open Sans"/>
                <w:sz w:val="20"/>
                <w:szCs w:val="20"/>
              </w:rPr>
            </w:pPr>
            <w:r w:rsidRPr="0088258A">
              <w:rPr>
                <w:rFonts w:ascii="Open Sans" w:hAnsi="Open Sans" w:cs="Open Sans"/>
                <w:sz w:val="20"/>
                <w:szCs w:val="20"/>
              </w:rPr>
              <w:t xml:space="preserve">Punkty nie sumują się </w:t>
            </w:r>
          </w:p>
        </w:tc>
        <w:tc>
          <w:tcPr>
            <w:tcW w:w="984" w:type="dxa"/>
            <w:tcBorders>
              <w:top w:val="single" w:sz="4" w:space="0" w:color="000000"/>
              <w:left w:val="single" w:sz="4" w:space="0" w:color="000000"/>
              <w:bottom w:val="single" w:sz="4" w:space="0" w:color="000000"/>
            </w:tcBorders>
            <w:vAlign w:val="center"/>
          </w:tcPr>
          <w:p w14:paraId="71055662" w14:textId="77777777" w:rsidR="0088258A" w:rsidRPr="00E55F86" w:rsidRDefault="0088258A"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74CFD4C6"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6F474DCC" w14:textId="77777777" w:rsidTr="00A426FC">
        <w:trPr>
          <w:trHeight w:val="313"/>
        </w:trPr>
        <w:tc>
          <w:tcPr>
            <w:tcW w:w="497" w:type="dxa"/>
          </w:tcPr>
          <w:p w14:paraId="227E1215" w14:textId="31CCABEF" w:rsidR="0088258A" w:rsidRPr="0088258A" w:rsidRDefault="0088258A" w:rsidP="0088258A">
            <w:pPr>
              <w:spacing w:line="276" w:lineRule="auto"/>
              <w:rPr>
                <w:rFonts w:ascii="Open Sans" w:hAnsi="Open Sans" w:cs="Open Sans"/>
                <w:b/>
                <w:sz w:val="20"/>
                <w:szCs w:val="20"/>
              </w:rPr>
            </w:pPr>
            <w:r w:rsidRPr="0088258A">
              <w:rPr>
                <w:rFonts w:ascii="Open Sans" w:hAnsi="Open Sans" w:cs="Open Sans"/>
                <w:b/>
                <w:sz w:val="20"/>
                <w:szCs w:val="20"/>
              </w:rPr>
              <w:t>5</w:t>
            </w:r>
          </w:p>
        </w:tc>
        <w:tc>
          <w:tcPr>
            <w:tcW w:w="2337" w:type="dxa"/>
          </w:tcPr>
          <w:p w14:paraId="598876A9" w14:textId="5AFE687A" w:rsidR="0088258A" w:rsidRPr="0088258A" w:rsidRDefault="0088258A" w:rsidP="0088258A">
            <w:pPr>
              <w:pStyle w:val="Standardowy2"/>
              <w:widowControl w:val="0"/>
              <w:tabs>
                <w:tab w:val="left" w:pos="0"/>
                <w:tab w:val="left" w:pos="3094"/>
              </w:tabs>
              <w:snapToGrid w:val="0"/>
              <w:spacing w:before="120"/>
              <w:rPr>
                <w:rFonts w:ascii="Open Sans" w:hAnsi="Open Sans" w:cs="Open Sans"/>
                <w:sz w:val="20"/>
                <w:lang w:val="pl-PL"/>
              </w:rPr>
            </w:pPr>
            <w:r w:rsidRPr="0088258A">
              <w:rPr>
                <w:rFonts w:ascii="Open Sans" w:hAnsi="Open Sans" w:cs="Open Sans"/>
                <w:sz w:val="20"/>
              </w:rPr>
              <w:t xml:space="preserve">Gotowość do realizacji inwestycji </w:t>
            </w:r>
          </w:p>
        </w:tc>
        <w:tc>
          <w:tcPr>
            <w:tcW w:w="3926" w:type="dxa"/>
          </w:tcPr>
          <w:p w14:paraId="6CFB031C"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Ocenie podlega: </w:t>
            </w:r>
          </w:p>
          <w:p w14:paraId="74B32D7F"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a) własność gruntów </w:t>
            </w:r>
          </w:p>
          <w:p w14:paraId="18E569BC"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b) przygotowanie instytucjonalne do wdrażania </w:t>
            </w:r>
          </w:p>
          <w:p w14:paraId="341609DE"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lastRenderedPageBreak/>
              <w:t xml:space="preserve">c) wartość zadań inwestycyjnych posiadających ostateczną decyzję w/s pozwolenia na budowę albo zgłoszenie budowy lub robót budowlanych wobec którego organ administracji architektoniczno-budowlanej nie wniósł sprzeciwu w stosunku do wartości wszystkich zadań wymagających pozwoleń na budowę albo zgłoszenia budowy lub robót budowlanych planowanych do realizacji </w:t>
            </w:r>
          </w:p>
          <w:p w14:paraId="4C8568CF"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d) wartość kontraktów posiadających dokumentację przetargową (SIWZ i ogłoszenie) w stosunku do całkowitej wartości projektu </w:t>
            </w:r>
          </w:p>
          <w:p w14:paraId="633D12B9" w14:textId="35129AE7" w:rsidR="0088258A" w:rsidRPr="0088258A" w:rsidRDefault="0088258A" w:rsidP="0088258A">
            <w:pPr>
              <w:widowControl w:val="0"/>
              <w:snapToGrid w:val="0"/>
              <w:spacing w:before="120" w:after="120"/>
              <w:rPr>
                <w:rFonts w:ascii="Open Sans" w:hAnsi="Open Sans" w:cs="Open Sans"/>
                <w:bCs/>
                <w:sz w:val="20"/>
                <w:szCs w:val="20"/>
              </w:rPr>
            </w:pPr>
            <w:r w:rsidRPr="0088258A">
              <w:rPr>
                <w:rFonts w:ascii="Open Sans" w:hAnsi="Open Sans" w:cs="Open Sans"/>
                <w:sz w:val="20"/>
                <w:szCs w:val="20"/>
              </w:rPr>
              <w:t xml:space="preserve">(jeżeli w ramach projektu nie ma potrzeby dokonywania zgłoszeń lub uzyskiwania pozwoleń na budowę projekt uzyskuje maksymalną liczbę punktów w zakresie pkt. c) </w:t>
            </w:r>
          </w:p>
        </w:tc>
        <w:tc>
          <w:tcPr>
            <w:tcW w:w="4462" w:type="dxa"/>
          </w:tcPr>
          <w:p w14:paraId="25CD5142"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lastRenderedPageBreak/>
              <w:t xml:space="preserve">maks. 12 pkt. </w:t>
            </w:r>
          </w:p>
          <w:p w14:paraId="50B31370" w14:textId="77777777" w:rsidR="0088258A" w:rsidRPr="0088258A" w:rsidRDefault="0088258A" w:rsidP="0088258A">
            <w:pPr>
              <w:pStyle w:val="Default"/>
              <w:numPr>
                <w:ilvl w:val="0"/>
                <w:numId w:val="114"/>
              </w:numPr>
              <w:rPr>
                <w:rFonts w:ascii="Open Sans" w:hAnsi="Open Sans" w:cs="Open Sans"/>
                <w:sz w:val="20"/>
                <w:szCs w:val="20"/>
              </w:rPr>
            </w:pPr>
            <w:r w:rsidRPr="0088258A">
              <w:rPr>
                <w:rFonts w:ascii="Open Sans" w:hAnsi="Open Sans" w:cs="Open Sans"/>
                <w:sz w:val="20"/>
                <w:szCs w:val="20"/>
              </w:rPr>
              <w:t xml:space="preserve">a) uregulowana własność gruntów oraz Wnioskodawca dysponuje tytułem prawnym </w:t>
            </w:r>
            <w:r w:rsidRPr="0088258A">
              <w:rPr>
                <w:rFonts w:ascii="Open Sans" w:hAnsi="Open Sans" w:cs="Open Sans"/>
                <w:sz w:val="20"/>
                <w:szCs w:val="20"/>
              </w:rPr>
              <w:lastRenderedPageBreak/>
              <w:t xml:space="preserve">do gruntu umożliwiającym realizacje projektu i zachowanie trwałości projektu: </w:t>
            </w:r>
          </w:p>
          <w:p w14:paraId="00FD8DF4" w14:textId="77777777" w:rsidR="0088258A" w:rsidRPr="0088258A" w:rsidRDefault="0088258A" w:rsidP="0088258A">
            <w:pPr>
              <w:pStyle w:val="Default"/>
              <w:rPr>
                <w:rFonts w:ascii="Open Sans" w:hAnsi="Open Sans" w:cs="Open Sans"/>
                <w:sz w:val="20"/>
                <w:szCs w:val="20"/>
              </w:rPr>
            </w:pPr>
          </w:p>
          <w:p w14:paraId="1A3B6A16"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 pkt. – tak </w:t>
            </w:r>
          </w:p>
          <w:p w14:paraId="74619A6B" w14:textId="77777777" w:rsidR="0088258A" w:rsidRPr="0088258A" w:rsidRDefault="0088258A" w:rsidP="0088258A">
            <w:pPr>
              <w:pStyle w:val="Default"/>
              <w:rPr>
                <w:rFonts w:ascii="Open Sans" w:hAnsi="Open Sans" w:cs="Open Sans"/>
                <w:sz w:val="20"/>
                <w:szCs w:val="20"/>
              </w:rPr>
            </w:pPr>
          </w:p>
          <w:p w14:paraId="5F6DEAB3" w14:textId="77777777" w:rsidR="0088258A" w:rsidRPr="0088258A" w:rsidRDefault="0088258A" w:rsidP="0088258A">
            <w:pPr>
              <w:pStyle w:val="Default"/>
              <w:numPr>
                <w:ilvl w:val="0"/>
                <w:numId w:val="115"/>
              </w:numPr>
              <w:rPr>
                <w:rFonts w:ascii="Open Sans" w:hAnsi="Open Sans" w:cs="Open Sans"/>
                <w:sz w:val="20"/>
                <w:szCs w:val="20"/>
              </w:rPr>
            </w:pPr>
            <w:r w:rsidRPr="0088258A">
              <w:rPr>
                <w:rFonts w:ascii="Open Sans" w:hAnsi="Open Sans" w:cs="Open Sans"/>
                <w:sz w:val="20"/>
                <w:szCs w:val="20"/>
              </w:rPr>
              <w:t xml:space="preserve">b) powołanie jednostki realizującej projekt lub powierzenie koordynacji projektu istniejącej komórce organizacyjnej: </w:t>
            </w:r>
          </w:p>
          <w:p w14:paraId="16D1C5F2" w14:textId="77777777" w:rsidR="0088258A" w:rsidRPr="0088258A" w:rsidRDefault="0088258A" w:rsidP="0088258A">
            <w:pPr>
              <w:pStyle w:val="Default"/>
              <w:rPr>
                <w:rFonts w:ascii="Open Sans" w:hAnsi="Open Sans" w:cs="Open Sans"/>
                <w:sz w:val="20"/>
                <w:szCs w:val="20"/>
              </w:rPr>
            </w:pPr>
          </w:p>
          <w:p w14:paraId="08A3A47E"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 pkt. – tak </w:t>
            </w:r>
          </w:p>
          <w:p w14:paraId="08EA2582" w14:textId="77777777" w:rsidR="0088258A" w:rsidRPr="0088258A" w:rsidRDefault="0088258A" w:rsidP="0088258A">
            <w:pPr>
              <w:pStyle w:val="Default"/>
              <w:rPr>
                <w:rFonts w:ascii="Open Sans" w:hAnsi="Open Sans" w:cs="Open Sans"/>
                <w:sz w:val="20"/>
                <w:szCs w:val="20"/>
              </w:rPr>
            </w:pPr>
          </w:p>
          <w:p w14:paraId="19AD9464" w14:textId="77777777" w:rsidR="0088258A" w:rsidRPr="0088258A" w:rsidRDefault="0088258A" w:rsidP="0088258A">
            <w:pPr>
              <w:pStyle w:val="Default"/>
              <w:numPr>
                <w:ilvl w:val="0"/>
                <w:numId w:val="116"/>
              </w:numPr>
              <w:rPr>
                <w:rFonts w:ascii="Open Sans" w:hAnsi="Open Sans" w:cs="Open Sans"/>
                <w:sz w:val="20"/>
                <w:szCs w:val="20"/>
              </w:rPr>
            </w:pPr>
            <w:r w:rsidRPr="0088258A">
              <w:rPr>
                <w:rFonts w:ascii="Open Sans" w:hAnsi="Open Sans" w:cs="Open Sans"/>
                <w:sz w:val="20"/>
                <w:szCs w:val="20"/>
              </w:rPr>
              <w:t xml:space="preserve">c) zaokrąglając do pełnego procenta: </w:t>
            </w:r>
          </w:p>
          <w:p w14:paraId="33228197" w14:textId="77777777" w:rsidR="0088258A" w:rsidRPr="0088258A" w:rsidRDefault="0088258A" w:rsidP="0088258A">
            <w:pPr>
              <w:pStyle w:val="Default"/>
              <w:rPr>
                <w:rFonts w:ascii="Open Sans" w:hAnsi="Open Sans" w:cs="Open Sans"/>
                <w:sz w:val="20"/>
                <w:szCs w:val="20"/>
              </w:rPr>
            </w:pPr>
          </w:p>
          <w:p w14:paraId="4DD25FB6"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5 pkt. – 86 – 100 % albo </w:t>
            </w:r>
          </w:p>
          <w:p w14:paraId="1AAEAB80"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3 pkt. – 71 % – 85 % albo </w:t>
            </w:r>
          </w:p>
          <w:p w14:paraId="39F613EF"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2 pkt. – 56 % – 70 % albo </w:t>
            </w:r>
          </w:p>
          <w:p w14:paraId="306787C6"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1 pkt. – 40 % – 55% albo </w:t>
            </w:r>
          </w:p>
          <w:p w14:paraId="0ED08981"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0 pkt. – 0 – 39 % </w:t>
            </w:r>
          </w:p>
          <w:p w14:paraId="7137D3C8" w14:textId="77777777" w:rsidR="0088258A" w:rsidRPr="0088258A" w:rsidRDefault="0088258A" w:rsidP="0088258A">
            <w:pPr>
              <w:pStyle w:val="Default"/>
              <w:rPr>
                <w:rFonts w:ascii="Open Sans" w:hAnsi="Open Sans" w:cs="Open Sans"/>
                <w:sz w:val="20"/>
                <w:szCs w:val="20"/>
              </w:rPr>
            </w:pPr>
          </w:p>
          <w:p w14:paraId="05C48929" w14:textId="77777777" w:rsidR="0088258A" w:rsidRPr="0088258A" w:rsidRDefault="0088258A" w:rsidP="0088258A">
            <w:pPr>
              <w:pStyle w:val="Default"/>
              <w:numPr>
                <w:ilvl w:val="0"/>
                <w:numId w:val="117"/>
              </w:numPr>
              <w:rPr>
                <w:rFonts w:ascii="Open Sans" w:hAnsi="Open Sans" w:cs="Open Sans"/>
                <w:sz w:val="20"/>
                <w:szCs w:val="20"/>
              </w:rPr>
            </w:pPr>
            <w:r w:rsidRPr="0088258A">
              <w:rPr>
                <w:rFonts w:ascii="Open Sans" w:hAnsi="Open Sans" w:cs="Open Sans"/>
                <w:sz w:val="20"/>
                <w:szCs w:val="20"/>
              </w:rPr>
              <w:t xml:space="preserve">d) zaokrąglając do pełnego procenta: </w:t>
            </w:r>
          </w:p>
          <w:p w14:paraId="608EE961" w14:textId="4D938B5C" w:rsidR="0088258A" w:rsidRPr="0088258A" w:rsidRDefault="0088258A" w:rsidP="0088258A">
            <w:pPr>
              <w:widowControl w:val="0"/>
              <w:spacing w:before="120" w:after="120"/>
              <w:ind w:left="6"/>
              <w:jc w:val="both"/>
              <w:rPr>
                <w:rFonts w:ascii="Open Sans" w:hAnsi="Open Sans" w:cs="Open Sans"/>
                <w:sz w:val="20"/>
                <w:szCs w:val="20"/>
              </w:rPr>
            </w:pPr>
          </w:p>
        </w:tc>
        <w:tc>
          <w:tcPr>
            <w:tcW w:w="984" w:type="dxa"/>
            <w:tcBorders>
              <w:top w:val="single" w:sz="4" w:space="0" w:color="000000"/>
              <w:left w:val="single" w:sz="4" w:space="0" w:color="000000"/>
              <w:bottom w:val="single" w:sz="4" w:space="0" w:color="000000"/>
            </w:tcBorders>
            <w:vAlign w:val="center"/>
          </w:tcPr>
          <w:p w14:paraId="659C0CB9" w14:textId="77777777" w:rsidR="0088258A" w:rsidRPr="00E55F86" w:rsidRDefault="0088258A" w:rsidP="0088258A">
            <w:pPr>
              <w:widowControl w:val="0"/>
              <w:spacing w:before="120" w:after="120"/>
              <w:jc w:val="center"/>
              <w:rPr>
                <w:rFonts w:ascii="Open Sans Light" w:hAnsi="Open Sans Light" w:cs="Open Sans Light"/>
                <w:sz w:val="20"/>
                <w:szCs w:val="20"/>
              </w:rPr>
            </w:pPr>
          </w:p>
        </w:tc>
        <w:tc>
          <w:tcPr>
            <w:tcW w:w="2928" w:type="dxa"/>
          </w:tcPr>
          <w:p w14:paraId="2EA0F0E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9D32495" w14:textId="77777777" w:rsidTr="00156550">
        <w:trPr>
          <w:trHeight w:val="313"/>
        </w:trPr>
        <w:tc>
          <w:tcPr>
            <w:tcW w:w="15134" w:type="dxa"/>
            <w:gridSpan w:val="6"/>
          </w:tcPr>
          <w:p w14:paraId="1EBBE87F" w14:textId="77777777" w:rsidR="0088258A" w:rsidRPr="00E55F86" w:rsidRDefault="0088258A" w:rsidP="0088258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horyzontalne</w:t>
            </w:r>
          </w:p>
        </w:tc>
      </w:tr>
      <w:tr w:rsidR="0088258A" w:rsidRPr="00E55F86" w14:paraId="3772112F" w14:textId="77777777" w:rsidTr="008A58C1">
        <w:trPr>
          <w:trHeight w:val="313"/>
        </w:trPr>
        <w:tc>
          <w:tcPr>
            <w:tcW w:w="497" w:type="dxa"/>
          </w:tcPr>
          <w:p w14:paraId="242F36CE"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p>
        </w:tc>
        <w:tc>
          <w:tcPr>
            <w:tcW w:w="2337" w:type="dxa"/>
            <w:tcBorders>
              <w:top w:val="single" w:sz="4" w:space="0" w:color="000000"/>
              <w:left w:val="single" w:sz="4" w:space="0" w:color="000000"/>
              <w:bottom w:val="single" w:sz="4" w:space="0" w:color="000000"/>
            </w:tcBorders>
          </w:tcPr>
          <w:p w14:paraId="42564C0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z zakresu gospodarki o obiegu zamkniętym, poprawy efektywności energetycznej i OZE, ochrony przyrody (w tym różnorodności biologicznej) oraz adaptacji do zmian klimatu</w:t>
            </w:r>
          </w:p>
        </w:tc>
        <w:tc>
          <w:tcPr>
            <w:tcW w:w="3926" w:type="dxa"/>
            <w:tcBorders>
              <w:top w:val="single" w:sz="4" w:space="0" w:color="000000"/>
              <w:left w:val="single" w:sz="4" w:space="0" w:color="000000"/>
              <w:bottom w:val="single" w:sz="4" w:space="0" w:color="000000"/>
            </w:tcBorders>
          </w:tcPr>
          <w:p w14:paraId="03AFCEE3"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efektów środowiskowych w zarządzaniu, a także odporności na zmiany klimatu i adaptacji do tych zmian, w tym zrównoważone gospodarowanie wodami opadowymi, zachowanie istniejącej zieleni </w:t>
            </w:r>
            <w:r w:rsidRPr="00E55F86">
              <w:rPr>
                <w:rFonts w:ascii="Open Sans Light" w:hAnsi="Open Sans Light" w:cs="Open Sans Light"/>
                <w:sz w:val="20"/>
                <w:szCs w:val="20"/>
              </w:rPr>
              <w:lastRenderedPageBreak/>
              <w:t xml:space="preserve">(w szczególności drzew) i powierzchni biologicznie czynnej na terenie inwestycji i retencjonowanie wody. </w:t>
            </w:r>
            <w:r w:rsidRPr="00E55F86">
              <w:rPr>
                <w:rFonts w:ascii="Open Sans Light" w:hAnsi="Open Sans Light" w:cs="Open Sans Light"/>
                <w:sz w:val="20"/>
                <w:szCs w:val="20"/>
              </w:rPr>
              <w:br/>
            </w:r>
          </w:p>
          <w:p w14:paraId="0AA0973C"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Projekt zawiera rozwiązania przyczyniające się do wzrostu efektywności energetycznej i udziału energii ze źródeł odnawialnych, </w:t>
            </w:r>
            <w:r w:rsidRPr="00E55F86">
              <w:rPr>
                <w:rFonts w:ascii="Open Sans Light" w:hAnsi="Open Sans Light" w:cs="Open Sans Light"/>
                <w:sz w:val="20"/>
                <w:szCs w:val="20"/>
              </w:rPr>
              <w:br/>
              <w:t xml:space="preserve">a w zakresie ochrony przyrody uwzględnienie utrzymania istniejącej zieleni, w szczególności drzew </w:t>
            </w:r>
            <w:r w:rsidRPr="00E55F86">
              <w:rPr>
                <w:rFonts w:ascii="Open Sans Light" w:hAnsi="Open Sans Light" w:cs="Open Sans Light"/>
                <w:sz w:val="20"/>
                <w:szCs w:val="20"/>
              </w:rPr>
              <w:br/>
              <w:t xml:space="preserve">i istniejących ekosystemów, promowania i przywracania zdrowych ekosystemów </w:t>
            </w:r>
            <w:r w:rsidRPr="00E55F86">
              <w:rPr>
                <w:rFonts w:ascii="Open Sans Light" w:hAnsi="Open Sans Light" w:cs="Open Sans Light"/>
                <w:sz w:val="20"/>
                <w:szCs w:val="20"/>
              </w:rPr>
              <w:br/>
              <w:t xml:space="preserve">i zwiększania różnorodności biologicznej, komponentów opartych na przyrodzie, zielonej oraz niebieskiej infrastruktury, rozwiązań opartych na rodzimych zasobach przyrody oraz realizacji dodatkowych nasadzeń drzew </w:t>
            </w:r>
            <w:r w:rsidRPr="00E55F86">
              <w:rPr>
                <w:rFonts w:ascii="Open Sans Light" w:hAnsi="Open Sans Light" w:cs="Open Sans Light"/>
                <w:sz w:val="20"/>
                <w:szCs w:val="20"/>
              </w:rPr>
              <w:br/>
              <w:t>i krzewów.</w:t>
            </w:r>
          </w:p>
        </w:tc>
        <w:tc>
          <w:tcPr>
            <w:tcW w:w="4462" w:type="dxa"/>
            <w:tcBorders>
              <w:top w:val="single" w:sz="4" w:space="0" w:color="000000"/>
              <w:left w:val="single" w:sz="4" w:space="0" w:color="000000"/>
              <w:bottom w:val="single" w:sz="4" w:space="0" w:color="000000"/>
            </w:tcBorders>
          </w:tcPr>
          <w:p w14:paraId="4DD69830"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 xml:space="preserve">1 pkt. – w ramach projektu zostały zastosowane rozwiązania w zakresie gospodarki o obiegu zamkniętym (wynikające z „Mapy drogowej Transformacji w kierunku gospodarki o obiegu zamkniętym”); </w:t>
            </w:r>
            <w:r w:rsidRPr="00E55F86">
              <w:rPr>
                <w:rFonts w:ascii="Open Sans Light" w:hAnsi="Open Sans Light" w:cs="Open Sans Light"/>
                <w:sz w:val="20"/>
                <w:szCs w:val="20"/>
              </w:rPr>
              <w:br/>
            </w:r>
          </w:p>
          <w:p w14:paraId="3C99368A"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odporności i adaptacji do zmian klimatu; </w:t>
            </w:r>
            <w:r w:rsidRPr="00E55F86">
              <w:rPr>
                <w:rFonts w:ascii="Open Sans Light" w:hAnsi="Open Sans Light" w:cs="Open Sans Light"/>
                <w:sz w:val="20"/>
                <w:szCs w:val="20"/>
              </w:rPr>
              <w:br/>
            </w:r>
          </w:p>
          <w:p w14:paraId="5CCE2273"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ochrony </w:t>
            </w:r>
            <w:r w:rsidRPr="00E55F86">
              <w:rPr>
                <w:rFonts w:ascii="Open Sans Light" w:hAnsi="Open Sans Light" w:cs="Open Sans Light"/>
                <w:sz w:val="20"/>
                <w:szCs w:val="20"/>
              </w:rPr>
              <w:lastRenderedPageBreak/>
              <w:t xml:space="preserve">przyrody (w tym zachowanie istniejących drzew i terenów zielonych oraz różnorodności biologicznej); </w:t>
            </w:r>
            <w:r w:rsidRPr="00E55F86">
              <w:rPr>
                <w:rFonts w:ascii="Open Sans Light" w:hAnsi="Open Sans Light" w:cs="Open Sans Light"/>
                <w:sz w:val="20"/>
                <w:szCs w:val="20"/>
              </w:rPr>
              <w:br/>
            </w:r>
          </w:p>
          <w:p w14:paraId="6B0C7934"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elementy w zakresie poprawy efektywności energetycznej i OZE; </w:t>
            </w:r>
            <w:r w:rsidRPr="00E55F86">
              <w:rPr>
                <w:rFonts w:ascii="Open Sans Light" w:hAnsi="Open Sans Light" w:cs="Open Sans Light"/>
                <w:sz w:val="20"/>
                <w:szCs w:val="20"/>
              </w:rPr>
              <w:br/>
            </w:r>
          </w:p>
          <w:p w14:paraId="1FAC97A6" w14:textId="77777777" w:rsidR="00047E34"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t>
            </w:r>
            <w:r w:rsidR="00047E34" w:rsidRPr="00047E34">
              <w:rPr>
                <w:rFonts w:ascii="Open Sans Light" w:hAnsi="Open Sans Light" w:cs="Open Sans Light"/>
                <w:sz w:val="20"/>
                <w:szCs w:val="20"/>
              </w:rPr>
              <w:t>w ramach projektu realizowane są dodatkowe nasadzenia drzew lub drzew i krzewów ponad te wynikające z rozstrzygnięć administracyjnych. Trwałość wykonanych na</w:t>
            </w:r>
            <w:r w:rsidR="00047E34">
              <w:rPr>
                <w:rFonts w:ascii="Open Sans Light" w:hAnsi="Open Sans Light" w:cs="Open Sans Light"/>
                <w:sz w:val="20"/>
                <w:szCs w:val="20"/>
              </w:rPr>
              <w:t>sadzeń wynosi co najmniej 5 lat</w:t>
            </w:r>
            <w:r w:rsidRPr="00E55F86">
              <w:rPr>
                <w:rFonts w:ascii="Open Sans Light" w:hAnsi="Open Sans Light" w:cs="Open Sans Light"/>
                <w:sz w:val="20"/>
                <w:szCs w:val="20"/>
              </w:rPr>
              <w:t>;</w:t>
            </w:r>
          </w:p>
          <w:p w14:paraId="631AA367" w14:textId="77777777" w:rsidR="00047E34" w:rsidRDefault="00047E34" w:rsidP="0088258A">
            <w:pPr>
              <w:widowControl w:val="0"/>
              <w:snapToGrid w:val="0"/>
              <w:spacing w:before="120" w:after="120"/>
              <w:jc w:val="both"/>
              <w:rPr>
                <w:rFonts w:ascii="Open Sans Light" w:hAnsi="Open Sans Light" w:cs="Open Sans Light"/>
                <w:sz w:val="20"/>
                <w:szCs w:val="20"/>
              </w:rPr>
            </w:pPr>
          </w:p>
          <w:p w14:paraId="5892C184" w14:textId="13190EA0" w:rsidR="0088258A" w:rsidRPr="00E55F86" w:rsidRDefault="00047E34" w:rsidP="0088258A">
            <w:pPr>
              <w:widowControl w:val="0"/>
              <w:snapToGrid w:val="0"/>
              <w:spacing w:before="120" w:after="120"/>
              <w:jc w:val="both"/>
              <w:rPr>
                <w:rFonts w:ascii="Open Sans Light" w:hAnsi="Open Sans Light" w:cs="Open Sans Light"/>
                <w:sz w:val="20"/>
                <w:szCs w:val="20"/>
              </w:rPr>
            </w:pPr>
            <w:r>
              <w:rPr>
                <w:rFonts w:ascii="Open Sans Light" w:hAnsi="Open Sans Light" w:cs="Open Sans Light"/>
                <w:sz w:val="20"/>
                <w:szCs w:val="20"/>
              </w:rPr>
              <w:t xml:space="preserve">lub 1 pkt - </w:t>
            </w:r>
            <w:r w:rsidRPr="00047E34">
              <w:rPr>
                <w:rFonts w:ascii="Open Sans Light" w:hAnsi="Open Sans Light" w:cs="Open Sans Light"/>
                <w:sz w:val="20"/>
                <w:szCs w:val="20"/>
              </w:rPr>
              <w:t>realizacja projektu będzie przebiegać zgodnie ze „Standardem ochrony drzew i innych form zieleni w procesie inwestycyjnym” (Standard opracowany przez Fundację Ekorozwoju oraz Stowarzyszenie Architektury Krajobrazu Fundacja EkoRozwoju) lub innym standardem stosowanym przez wnioskodawcę chroniącym zieleń w stopniu nie mniejszym niż ww. “Standard (...)”. Spełnienie przedmiotowego kryterium następuje na podstawie oświadczenia wnioskodawcy.</w:t>
            </w:r>
            <w:r w:rsidR="0088258A" w:rsidRPr="00E55F86">
              <w:rPr>
                <w:rFonts w:ascii="Open Sans Light" w:hAnsi="Open Sans Light" w:cs="Open Sans Light"/>
                <w:sz w:val="20"/>
                <w:szCs w:val="20"/>
              </w:rPr>
              <w:t xml:space="preserve"> </w:t>
            </w:r>
            <w:r w:rsidR="0088258A" w:rsidRPr="00E55F86">
              <w:rPr>
                <w:rFonts w:ascii="Open Sans Light" w:hAnsi="Open Sans Light" w:cs="Open Sans Light"/>
                <w:sz w:val="20"/>
                <w:szCs w:val="20"/>
              </w:rPr>
              <w:br/>
            </w:r>
          </w:p>
          <w:p w14:paraId="1116C816"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r w:rsidRPr="00E55F86">
              <w:rPr>
                <w:rFonts w:ascii="Open Sans Light" w:hAnsi="Open Sans Light" w:cs="Open Sans Light"/>
                <w:sz w:val="20"/>
                <w:szCs w:val="20"/>
              </w:rPr>
              <w:br/>
            </w:r>
          </w:p>
          <w:p w14:paraId="3206B362"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Punkty sumują się.</w:t>
            </w:r>
          </w:p>
        </w:tc>
        <w:tc>
          <w:tcPr>
            <w:tcW w:w="984" w:type="dxa"/>
            <w:tcBorders>
              <w:top w:val="single" w:sz="4" w:space="0" w:color="000000"/>
              <w:left w:val="single" w:sz="4" w:space="0" w:color="000000"/>
              <w:bottom w:val="single" w:sz="4" w:space="0" w:color="000000"/>
            </w:tcBorders>
            <w:vAlign w:val="center"/>
          </w:tcPr>
          <w:p w14:paraId="461C83B4" w14:textId="77777777" w:rsidR="0088258A" w:rsidRPr="00E55F86" w:rsidRDefault="0088258A" w:rsidP="0088258A">
            <w:pPr>
              <w:pStyle w:val="Tekstpodstawowy"/>
              <w:widowControl w:val="0"/>
              <w:tabs>
                <w:tab w:val="left" w:pos="0"/>
              </w:tabs>
              <w:spacing w:before="120" w:after="120"/>
              <w:jc w:val="center"/>
              <w:rPr>
                <w:rFonts w:ascii="Open Sans Light" w:hAnsi="Open Sans Light" w:cs="Open Sans Light"/>
                <w:sz w:val="20"/>
                <w:szCs w:val="20"/>
              </w:rPr>
            </w:pPr>
          </w:p>
        </w:tc>
        <w:tc>
          <w:tcPr>
            <w:tcW w:w="2928" w:type="dxa"/>
          </w:tcPr>
          <w:p w14:paraId="4EF566B5"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0BC86BF" w14:textId="77777777" w:rsidTr="008A58C1">
        <w:trPr>
          <w:trHeight w:val="313"/>
        </w:trPr>
        <w:tc>
          <w:tcPr>
            <w:tcW w:w="497" w:type="dxa"/>
          </w:tcPr>
          <w:p w14:paraId="2E0A1357"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2</w:t>
            </w:r>
          </w:p>
        </w:tc>
        <w:tc>
          <w:tcPr>
            <w:tcW w:w="2337" w:type="dxa"/>
            <w:tcBorders>
              <w:top w:val="single" w:sz="4" w:space="0" w:color="000000"/>
              <w:left w:val="single" w:sz="4" w:space="0" w:color="000000"/>
              <w:bottom w:val="single" w:sz="4" w:space="0" w:color="000000"/>
            </w:tcBorders>
          </w:tcPr>
          <w:p w14:paraId="5394AD3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edukacyjnych w projekcie</w:t>
            </w:r>
          </w:p>
        </w:tc>
        <w:tc>
          <w:tcPr>
            <w:tcW w:w="3926" w:type="dxa"/>
            <w:tcBorders>
              <w:top w:val="single" w:sz="4" w:space="0" w:color="000000"/>
              <w:left w:val="single" w:sz="4" w:space="0" w:color="000000"/>
              <w:bottom w:val="single" w:sz="4" w:space="0" w:color="000000"/>
            </w:tcBorders>
          </w:tcPr>
          <w:p w14:paraId="09C63B8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Projekt obejmuje elementy edukacyjne w zakresie podnoszenia świadomości ekologicznej społeczeństwa , na przykład czystego powietrza, rozwiązania zgodne z </w:t>
            </w:r>
            <w:r w:rsidRPr="00E55F86">
              <w:rPr>
                <w:rFonts w:ascii="Open Sans Light" w:hAnsi="Open Sans Light" w:cs="Open Sans Light"/>
                <w:sz w:val="20"/>
                <w:szCs w:val="20"/>
              </w:rPr>
              <w:lastRenderedPageBreak/>
              <w:t>GOZ lub oszczędności energii/zasobów naturalnych (jeśli dotyczy. Kryterium nie dotyczy projektów, w których odrębne przepisy stanowią (np.. w zakresie pomocy publicznej), iż koszty elementów edukacyjnych są niekwalifikowalne.</w:t>
            </w:r>
          </w:p>
        </w:tc>
        <w:tc>
          <w:tcPr>
            <w:tcW w:w="4462" w:type="dxa"/>
            <w:tcBorders>
              <w:top w:val="single" w:sz="4" w:space="0" w:color="000000"/>
              <w:left w:val="single" w:sz="4" w:space="0" w:color="000000"/>
              <w:bottom w:val="single" w:sz="4" w:space="0" w:color="000000"/>
            </w:tcBorders>
          </w:tcPr>
          <w:p w14:paraId="14E6590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1 pkt. - projekt obejmuje elementy edukacyjne;</w:t>
            </w:r>
          </w:p>
          <w:p w14:paraId="63F210BF" w14:textId="77777777" w:rsidR="0088258A" w:rsidRPr="00E55F86" w:rsidRDefault="0088258A" w:rsidP="0088258A">
            <w:pPr>
              <w:widowControl w:val="0"/>
              <w:spacing w:before="120" w:after="120"/>
              <w:jc w:val="both"/>
              <w:rPr>
                <w:rFonts w:ascii="Open Sans Light" w:hAnsi="Open Sans Light" w:cs="Open Sans Light"/>
                <w:sz w:val="20"/>
                <w:szCs w:val="20"/>
              </w:rPr>
            </w:pPr>
          </w:p>
          <w:p w14:paraId="587959DC"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000000"/>
              <w:left w:val="single" w:sz="4" w:space="0" w:color="000000"/>
              <w:bottom w:val="single" w:sz="4" w:space="0" w:color="000000"/>
            </w:tcBorders>
            <w:vAlign w:val="center"/>
          </w:tcPr>
          <w:p w14:paraId="42792B08"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D74B124"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595FF17D" w14:textId="77777777" w:rsidTr="008A58C1">
        <w:trPr>
          <w:trHeight w:val="313"/>
        </w:trPr>
        <w:tc>
          <w:tcPr>
            <w:tcW w:w="497" w:type="dxa"/>
          </w:tcPr>
          <w:p w14:paraId="1B8A30F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337" w:type="dxa"/>
            <w:tcBorders>
              <w:top w:val="single" w:sz="4" w:space="0" w:color="000000"/>
              <w:left w:val="single" w:sz="4" w:space="0" w:color="000000"/>
              <w:bottom w:val="single" w:sz="4" w:space="0" w:color="000000"/>
            </w:tcBorders>
          </w:tcPr>
          <w:p w14:paraId="1F855CEF" w14:textId="77777777" w:rsidR="0088258A" w:rsidRPr="00E55F86" w:rsidRDefault="0088258A" w:rsidP="0088258A">
            <w:pPr>
              <w:pStyle w:val="Tekstpodstawowy"/>
              <w:widowControl w:val="0"/>
              <w:tabs>
                <w:tab w:val="left" w:pos="0"/>
              </w:tabs>
              <w:snapToGrid w:val="0"/>
              <w:spacing w:before="120" w:after="120"/>
              <w:jc w:val="left"/>
              <w:rPr>
                <w:rFonts w:ascii="Open Sans Light" w:hAnsi="Open Sans Light" w:cs="Open Sans Light"/>
                <w:bCs/>
                <w:sz w:val="20"/>
                <w:szCs w:val="20"/>
              </w:rPr>
            </w:pPr>
            <w:r w:rsidRPr="00E55F86">
              <w:rPr>
                <w:rFonts w:ascii="Open Sans Light" w:hAnsi="Open Sans Light" w:cs="Open Sans Light"/>
                <w:bCs/>
                <w:sz w:val="20"/>
                <w:szCs w:val="20"/>
              </w:rPr>
              <w:t>Zgodność projektu ze Strategią Unii Europejskiej dla regionu Morza Bałtyckiego (SUE RMB)</w:t>
            </w:r>
          </w:p>
        </w:tc>
        <w:tc>
          <w:tcPr>
            <w:tcW w:w="3926" w:type="dxa"/>
            <w:tcBorders>
              <w:top w:val="single" w:sz="4" w:space="0" w:color="000000"/>
              <w:left w:val="single" w:sz="4" w:space="0" w:color="000000"/>
              <w:bottom w:val="single" w:sz="4" w:space="0" w:color="000000"/>
            </w:tcBorders>
          </w:tcPr>
          <w:p w14:paraId="5A4AF133" w14:textId="77777777" w:rsidR="0088258A" w:rsidRPr="00E55F86" w:rsidRDefault="0088258A" w:rsidP="0088258A">
            <w:pPr>
              <w:pStyle w:val="Tekstpodstawowy"/>
              <w:widowControl w:val="0"/>
              <w:tabs>
                <w:tab w:val="left" w:pos="0"/>
              </w:tabs>
              <w:snapToGrid w:val="0"/>
              <w:spacing w:before="120" w:after="120"/>
              <w:rPr>
                <w:rFonts w:ascii="Open Sans Light" w:hAnsi="Open Sans Light" w:cs="Open Sans Light"/>
                <w:bCs/>
                <w:sz w:val="20"/>
                <w:szCs w:val="20"/>
              </w:rPr>
            </w:pPr>
            <w:r w:rsidRPr="00E55F86">
              <w:rPr>
                <w:rFonts w:ascii="Open Sans Light" w:hAnsi="Open Sans Light" w:cs="Open Sans Light"/>
                <w:bCs/>
                <w:sz w:val="20"/>
                <w:szCs w:val="20"/>
              </w:rPr>
              <w:t>Projekt jest zgodny lub komplementarny z celami Strategii Unii Europejskiej dla regionu Morza Bałtyckiego.</w:t>
            </w:r>
          </w:p>
        </w:tc>
        <w:tc>
          <w:tcPr>
            <w:tcW w:w="4462" w:type="dxa"/>
            <w:tcBorders>
              <w:top w:val="single" w:sz="4" w:space="0" w:color="000000"/>
              <w:left w:val="single" w:sz="4" w:space="0" w:color="000000"/>
              <w:bottom w:val="single" w:sz="4" w:space="0" w:color="000000"/>
            </w:tcBorders>
          </w:tcPr>
          <w:p w14:paraId="08140A19" w14:textId="21406781" w:rsidR="0088258A" w:rsidRPr="00E55F86" w:rsidRDefault="0088258A" w:rsidP="0088258A">
            <w:pPr>
              <w:pStyle w:val="Tekstpodstawowy"/>
              <w:widowControl w:val="0"/>
              <w:tabs>
                <w:tab w:val="left" w:pos="0"/>
              </w:tabs>
              <w:snapToGrid w:val="0"/>
              <w:spacing w:before="120" w:after="120"/>
              <w:jc w:val="left"/>
              <w:rPr>
                <w:rFonts w:ascii="Open Sans Light" w:hAnsi="Open Sans Light" w:cs="Open Sans Light"/>
                <w:sz w:val="20"/>
                <w:szCs w:val="20"/>
              </w:rPr>
            </w:pPr>
            <w:r w:rsidRPr="00E55F86">
              <w:rPr>
                <w:rFonts w:ascii="Open Sans Light" w:hAnsi="Open Sans Light" w:cs="Open Sans Light"/>
                <w:sz w:val="20"/>
                <w:szCs w:val="20"/>
              </w:rPr>
              <w:t xml:space="preserve">2 pkt. - </w:t>
            </w:r>
            <w:r w:rsidR="00047E34" w:rsidRPr="00047E34">
              <w:rPr>
                <w:rFonts w:ascii="Open Sans Light" w:hAnsi="Open Sans Light" w:cs="Open Sans Light"/>
                <w:sz w:val="20"/>
                <w:szCs w:val="20"/>
              </w:rPr>
              <w:t>projekt realizuje przynajmniej jedno z działań przypisanych do danego obszaru Strategii (Policy area).</w:t>
            </w:r>
            <w:r w:rsidRPr="00E55F86">
              <w:rPr>
                <w:rFonts w:ascii="Open Sans Light" w:hAnsi="Open Sans Light" w:cs="Open Sans Light"/>
                <w:sz w:val="20"/>
                <w:szCs w:val="20"/>
              </w:rPr>
              <w:t>;</w:t>
            </w:r>
            <w:r w:rsidRPr="00E55F86">
              <w:rPr>
                <w:rFonts w:ascii="Open Sans Light" w:hAnsi="Open Sans Light" w:cs="Open Sans Light"/>
                <w:sz w:val="20"/>
                <w:szCs w:val="20"/>
              </w:rPr>
              <w:br/>
            </w:r>
          </w:p>
          <w:p w14:paraId="786AD789" w14:textId="49EF5BE4" w:rsidR="0088258A" w:rsidRPr="00E55F86" w:rsidRDefault="00047E34" w:rsidP="0088258A">
            <w:pPr>
              <w:pStyle w:val="Tekstpodstawowy"/>
              <w:widowControl w:val="0"/>
              <w:tabs>
                <w:tab w:val="left" w:pos="0"/>
              </w:tabs>
              <w:snapToGrid w:val="0"/>
              <w:spacing w:before="120" w:after="120"/>
              <w:jc w:val="left"/>
              <w:rPr>
                <w:rFonts w:ascii="Open Sans Light" w:hAnsi="Open Sans Light" w:cs="Open Sans Light"/>
                <w:sz w:val="20"/>
                <w:szCs w:val="20"/>
              </w:rPr>
            </w:pPr>
            <w:r w:rsidRPr="00047E34">
              <w:rPr>
                <w:rFonts w:ascii="Open Sans Light" w:hAnsi="Open Sans Light" w:cs="Open Sans Light"/>
                <w:sz w:val="20"/>
                <w:szCs w:val="20"/>
              </w:rPr>
              <w:t>0 pkt. – projekt nie realizuje żadnego z działań przypisanych do danego obszaru Strategii (Policy area)</w:t>
            </w:r>
          </w:p>
        </w:tc>
        <w:tc>
          <w:tcPr>
            <w:tcW w:w="984" w:type="dxa"/>
            <w:tcBorders>
              <w:top w:val="single" w:sz="4" w:space="0" w:color="000000"/>
              <w:left w:val="single" w:sz="4" w:space="0" w:color="000000"/>
              <w:bottom w:val="single" w:sz="4" w:space="0" w:color="000000"/>
            </w:tcBorders>
            <w:vAlign w:val="center"/>
          </w:tcPr>
          <w:p w14:paraId="35DB90FD"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43561B3E"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84992CA" w14:textId="77777777" w:rsidTr="008A58C1">
        <w:trPr>
          <w:trHeight w:val="313"/>
        </w:trPr>
        <w:tc>
          <w:tcPr>
            <w:tcW w:w="497" w:type="dxa"/>
          </w:tcPr>
          <w:p w14:paraId="50C02BB0"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4</w:t>
            </w:r>
          </w:p>
        </w:tc>
        <w:tc>
          <w:tcPr>
            <w:tcW w:w="2337" w:type="dxa"/>
            <w:tcBorders>
              <w:top w:val="single" w:sz="4" w:space="0" w:color="000000"/>
              <w:left w:val="single" w:sz="4" w:space="0" w:color="000000"/>
              <w:bottom w:val="single" w:sz="4" w:space="0" w:color="000000"/>
            </w:tcBorders>
          </w:tcPr>
          <w:p w14:paraId="7758F2A0"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Projekt przewiduje elementy związane ze współpracą z partnerami z innych państw</w:t>
            </w:r>
          </w:p>
        </w:tc>
        <w:tc>
          <w:tcPr>
            <w:tcW w:w="3926" w:type="dxa"/>
            <w:tcBorders>
              <w:top w:val="single" w:sz="4" w:space="0" w:color="000000"/>
              <w:left w:val="single" w:sz="4" w:space="0" w:color="000000"/>
              <w:bottom w:val="single" w:sz="4" w:space="0" w:color="000000"/>
            </w:tcBorders>
          </w:tcPr>
          <w:p w14:paraId="2A60CF5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E55F86">
              <w:rPr>
                <w:rFonts w:ascii="Open Sans Light" w:hAnsi="Open Sans Light" w:cs="Open Sans Light"/>
                <w:sz w:val="20"/>
                <w:szCs w:val="20"/>
              </w:rPr>
              <w:br/>
              <w:t xml:space="preserve">w UE, krajach kandydujących </w:t>
            </w:r>
            <w:r w:rsidRPr="00E55F86">
              <w:rPr>
                <w:rFonts w:ascii="Open Sans Light" w:hAnsi="Open Sans Light" w:cs="Open Sans Light"/>
                <w:sz w:val="20"/>
                <w:szCs w:val="20"/>
              </w:rPr>
              <w:br/>
              <w:t>i stowarzyszonych</w:t>
            </w:r>
          </w:p>
        </w:tc>
        <w:tc>
          <w:tcPr>
            <w:tcW w:w="4462" w:type="dxa"/>
            <w:tcBorders>
              <w:top w:val="single" w:sz="4" w:space="0" w:color="000000"/>
              <w:left w:val="single" w:sz="4" w:space="0" w:color="000000"/>
              <w:bottom w:val="single" w:sz="4" w:space="0" w:color="000000"/>
            </w:tcBorders>
          </w:tcPr>
          <w:p w14:paraId="5EFF607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zakłada współpracę </w:t>
            </w:r>
            <w:r w:rsidRPr="00E55F86">
              <w:rPr>
                <w:rFonts w:ascii="Open Sans Light" w:hAnsi="Open Sans Light" w:cs="Open Sans Light"/>
                <w:sz w:val="20"/>
                <w:szCs w:val="20"/>
              </w:rPr>
              <w:br/>
              <w:t>z partnerami z innych państw, tj. wspólne działania mające bezpośredni związek i wpływ na kształt i realizację inwestycji objętej projektem albo</w:t>
            </w:r>
          </w:p>
          <w:p w14:paraId="52826D8A" w14:textId="0FBFBA1D" w:rsidR="00047E34"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jest komplementarny do innych projektów realizowanych poza granicami Polski w UE, krajach </w:t>
            </w:r>
            <w:r w:rsidR="00047E34">
              <w:rPr>
                <w:rFonts w:ascii="Open Sans Light" w:hAnsi="Open Sans Light" w:cs="Open Sans Light"/>
                <w:sz w:val="20"/>
                <w:szCs w:val="20"/>
              </w:rPr>
              <w:t xml:space="preserve">kandydujących i stowarzyszonych. </w:t>
            </w:r>
            <w:r w:rsidR="00047E34" w:rsidRPr="00047E34">
              <w:rPr>
                <w:rFonts w:ascii="Open Sans Light" w:hAnsi="Open Sans Light" w:cs="Open Sans Light"/>
                <w:sz w:val="20"/>
                <w:szCs w:val="20"/>
              </w:rPr>
              <w:t>Udowodniono że przedmiotowe projekty ukierunkowane są na osiągnięcie wspólnego celu i wzajemne wzmacnianie swoich efektów, co jest wynikiem świadomej</w:t>
            </w:r>
          </w:p>
          <w:p w14:paraId="507E025B"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wymianę wiedzy i doświadczeń oraz konsultacje, z partnerami z innych państw w zakresie zagadnień związanych z realizowanym projektem;</w:t>
            </w:r>
          </w:p>
          <w:p w14:paraId="0D2D442A"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1C9CB057"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4225AC1B"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A4871F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1F22503E" w14:textId="77777777" w:rsidTr="008A58C1">
        <w:trPr>
          <w:trHeight w:val="313"/>
        </w:trPr>
        <w:tc>
          <w:tcPr>
            <w:tcW w:w="497" w:type="dxa"/>
          </w:tcPr>
          <w:p w14:paraId="0990F26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5</w:t>
            </w:r>
          </w:p>
        </w:tc>
        <w:tc>
          <w:tcPr>
            <w:tcW w:w="2337" w:type="dxa"/>
            <w:tcBorders>
              <w:top w:val="single" w:sz="4" w:space="0" w:color="000000"/>
              <w:left w:val="single" w:sz="4" w:space="0" w:color="000000"/>
              <w:bottom w:val="single" w:sz="4" w:space="0" w:color="000000"/>
            </w:tcBorders>
          </w:tcPr>
          <w:p w14:paraId="18AF200C" w14:textId="77777777" w:rsidR="0088258A" w:rsidRPr="00E55F86" w:rsidRDefault="0088258A" w:rsidP="0088258A">
            <w:pPr>
              <w:pStyle w:val="Standardowy2"/>
              <w:widowControl w:val="0"/>
              <w:tabs>
                <w:tab w:val="left" w:pos="0"/>
                <w:tab w:val="left" w:pos="3094"/>
              </w:tabs>
              <w:suppressAutoHyphens w:val="0"/>
              <w:snapToGrid w:val="0"/>
              <w:spacing w:before="120"/>
              <w:rPr>
                <w:rFonts w:ascii="Open Sans Light" w:hAnsi="Open Sans Light" w:cs="Open Sans Light"/>
                <w:sz w:val="20"/>
                <w:lang w:val="pl-PL"/>
              </w:rPr>
            </w:pPr>
            <w:r w:rsidRPr="00E55F86">
              <w:rPr>
                <w:rFonts w:ascii="Open Sans Light" w:hAnsi="Open Sans Light" w:cs="Open Sans Light"/>
                <w:bCs/>
                <w:sz w:val="20"/>
                <w:lang w:val="pl-PL"/>
              </w:rPr>
              <w:t xml:space="preserve">Projekt jest operacją o </w:t>
            </w:r>
            <w:r w:rsidRPr="00E55F86">
              <w:rPr>
                <w:rFonts w:ascii="Open Sans Light" w:hAnsi="Open Sans Light" w:cs="Open Sans Light"/>
                <w:bCs/>
                <w:sz w:val="20"/>
                <w:lang w:val="pl-PL"/>
              </w:rPr>
              <w:lastRenderedPageBreak/>
              <w:t>strategicznym znaczeniu w rozumieniu przepisów art. 2 pkt 5 CPR</w:t>
            </w:r>
          </w:p>
        </w:tc>
        <w:tc>
          <w:tcPr>
            <w:tcW w:w="3926" w:type="dxa"/>
            <w:tcBorders>
              <w:top w:val="single" w:sz="4" w:space="0" w:color="000000"/>
              <w:left w:val="single" w:sz="4" w:space="0" w:color="000000"/>
              <w:bottom w:val="single" w:sz="4" w:space="0" w:color="000000"/>
            </w:tcBorders>
          </w:tcPr>
          <w:p w14:paraId="116D37AA" w14:textId="77777777" w:rsidR="0088258A" w:rsidRPr="00E55F86" w:rsidRDefault="0088258A" w:rsidP="0088258A">
            <w:pPr>
              <w:pStyle w:val="Tekstpodstawowy"/>
              <w:widowControl w:val="0"/>
              <w:tabs>
                <w:tab w:val="left" w:pos="0"/>
              </w:tabs>
              <w:snapToGrid w:val="0"/>
              <w:spacing w:before="120"/>
              <w:rPr>
                <w:rFonts w:ascii="Open Sans Light" w:hAnsi="Open Sans Light" w:cs="Open Sans Light"/>
                <w:sz w:val="20"/>
                <w:szCs w:val="20"/>
              </w:rPr>
            </w:pPr>
            <w:r w:rsidRPr="00E55F86">
              <w:rPr>
                <w:rFonts w:ascii="Open Sans Light" w:hAnsi="Open Sans Light" w:cs="Open Sans Light"/>
                <w:sz w:val="20"/>
                <w:szCs w:val="20"/>
              </w:rPr>
              <w:lastRenderedPageBreak/>
              <w:t xml:space="preserve">Projekt jest operacją o strategicznym </w:t>
            </w:r>
            <w:r w:rsidRPr="00E55F86">
              <w:rPr>
                <w:rFonts w:ascii="Open Sans Light" w:hAnsi="Open Sans Light" w:cs="Open Sans Light"/>
                <w:sz w:val="20"/>
                <w:szCs w:val="20"/>
              </w:rPr>
              <w:lastRenderedPageBreak/>
              <w:t>znaczeniu, tj. został ujęty w wykazie takich operacji zawartym w Rozdziale 8 Programu FEnIKS „Załącznik: Wykaz planowanych operacji o znaczeniu strategicznym wraz z harmonogramem” lub jest częścią wiązki projektów uznanych jako operacja o strategicznym znaczeniu.</w:t>
            </w:r>
          </w:p>
        </w:tc>
        <w:tc>
          <w:tcPr>
            <w:tcW w:w="4462" w:type="dxa"/>
            <w:tcBorders>
              <w:top w:val="single" w:sz="4" w:space="0" w:color="000000"/>
              <w:left w:val="single" w:sz="4" w:space="0" w:color="000000"/>
              <w:bottom w:val="single" w:sz="4" w:space="0" w:color="000000"/>
            </w:tcBorders>
          </w:tcPr>
          <w:p w14:paraId="25FD3D4A" w14:textId="77777777" w:rsidR="0088258A" w:rsidRPr="00E55F86" w:rsidRDefault="0088258A" w:rsidP="0088258A">
            <w:pPr>
              <w:pStyle w:val="Tekstpodstawowy"/>
              <w:widowControl w:val="0"/>
              <w:tabs>
                <w:tab w:val="left" w:pos="313"/>
              </w:tabs>
              <w:spacing w:after="120"/>
              <w:ind w:left="313" w:hanging="313"/>
              <w:rPr>
                <w:rFonts w:ascii="Open Sans Light" w:hAnsi="Open Sans Light" w:cs="Open Sans Light"/>
                <w:sz w:val="20"/>
                <w:szCs w:val="20"/>
              </w:rPr>
            </w:pPr>
            <w:r w:rsidRPr="00E55F86">
              <w:rPr>
                <w:rFonts w:ascii="Open Sans Light" w:hAnsi="Open Sans Light" w:cs="Open Sans Light"/>
                <w:sz w:val="20"/>
                <w:szCs w:val="20"/>
              </w:rPr>
              <w:lastRenderedPageBreak/>
              <w:t xml:space="preserve">3 pkt. – projekt jest operacją o strategicznym znaczeniu w rozumieniu przepisów art. 2 pkt </w:t>
            </w:r>
            <w:r w:rsidRPr="00E55F86">
              <w:rPr>
                <w:rFonts w:ascii="Open Sans Light" w:hAnsi="Open Sans Light" w:cs="Open Sans Light"/>
                <w:sz w:val="20"/>
                <w:szCs w:val="20"/>
              </w:rPr>
              <w:lastRenderedPageBreak/>
              <w:t xml:space="preserve">5 CPR i został ujęty w wykazie takich operacji zawartym w załączniku do programu lub jest częścią wiązki projektów uznanych jako operacja o strategicznym znaczeniu; </w:t>
            </w:r>
          </w:p>
          <w:p w14:paraId="7F251320" w14:textId="77777777" w:rsidR="0088258A" w:rsidRDefault="0088258A" w:rsidP="0088258A">
            <w:pPr>
              <w:pStyle w:val="Tekstpodstawowy"/>
              <w:widowControl w:val="0"/>
              <w:tabs>
                <w:tab w:val="left" w:pos="313"/>
              </w:tabs>
              <w:ind w:left="313" w:hanging="313"/>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73C5EDE5" w14:textId="77777777" w:rsidR="0088258A" w:rsidRPr="00E55F86" w:rsidRDefault="0088258A" w:rsidP="0088258A">
            <w:pPr>
              <w:pStyle w:val="Tekstpodstawowy"/>
              <w:widowControl w:val="0"/>
              <w:tabs>
                <w:tab w:val="left" w:pos="313"/>
              </w:tabs>
              <w:rPr>
                <w:rFonts w:ascii="Open Sans Light" w:hAnsi="Open Sans Light" w:cs="Open Sans Light"/>
                <w:sz w:val="20"/>
                <w:szCs w:val="20"/>
              </w:rPr>
            </w:pPr>
          </w:p>
          <w:p w14:paraId="0B44721D" w14:textId="77777777" w:rsidR="0088258A" w:rsidRPr="00E55F86" w:rsidRDefault="0088258A" w:rsidP="0088258A">
            <w:pPr>
              <w:pStyle w:val="Tekstpodstawowy"/>
              <w:widowControl w:val="0"/>
              <w:tabs>
                <w:tab w:val="left" w:pos="313"/>
              </w:tabs>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Borders>
              <w:top w:val="single" w:sz="4" w:space="0" w:color="000000"/>
              <w:left w:val="single" w:sz="4" w:space="0" w:color="000000"/>
              <w:bottom w:val="single" w:sz="4" w:space="0" w:color="000000"/>
            </w:tcBorders>
            <w:vAlign w:val="center"/>
          </w:tcPr>
          <w:p w14:paraId="5BDA8931"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69CE01A7"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DE91D7A" w14:textId="77777777" w:rsidTr="008A58C1">
        <w:trPr>
          <w:trHeight w:val="313"/>
        </w:trPr>
        <w:tc>
          <w:tcPr>
            <w:tcW w:w="497" w:type="dxa"/>
          </w:tcPr>
          <w:p w14:paraId="026D1592"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337" w:type="dxa"/>
          </w:tcPr>
          <w:p w14:paraId="2DE13A9D"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miasta średnie tracące funkcje społeczno-gospodarcze/obszary zagrożone trwałą marginalizacją</w:t>
            </w:r>
          </w:p>
        </w:tc>
        <w:tc>
          <w:tcPr>
            <w:tcW w:w="3926" w:type="dxa"/>
          </w:tcPr>
          <w:p w14:paraId="349251D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realizowany na jednym z dwóch obszarów strategicznej interwencji wskazanych w KSRR, tj. na obszarze miast średnich tracących funkcje społeczno</w:t>
            </w:r>
            <w:r>
              <w:rPr>
                <w:rFonts w:ascii="Open Sans Light" w:hAnsi="Open Sans Light" w:cs="Open Sans Light"/>
                <w:sz w:val="20"/>
                <w:szCs w:val="20"/>
              </w:rPr>
              <w:t>-</w:t>
            </w:r>
            <w:r w:rsidRPr="00E55F86">
              <w:rPr>
                <w:rFonts w:ascii="Open Sans Light" w:hAnsi="Open Sans Light" w:cs="Open Sans Light"/>
                <w:sz w:val="20"/>
                <w:szCs w:val="20"/>
              </w:rPr>
              <w:t>gospodarcze lub obszarze zagrożonym trwałą marginalizacją. Aktualizacja delimitacji obszarów strategicznej interwencji jest dostępna pod adresem: https://www.gov.pl/web/fundusze-regiony/krajowa-strategia-rozwoju-regionalnego</w:t>
            </w:r>
          </w:p>
        </w:tc>
        <w:tc>
          <w:tcPr>
            <w:tcW w:w="4462" w:type="dxa"/>
          </w:tcPr>
          <w:p w14:paraId="6C5A3D1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3 pkt. – projekt jest realizowany na obszarze wskazanych OSI; </w:t>
            </w:r>
            <w:r w:rsidRPr="00E55F86">
              <w:rPr>
                <w:rFonts w:ascii="Open Sans Light" w:hAnsi="Open Sans Light" w:cs="Open Sans Light"/>
                <w:sz w:val="20"/>
                <w:szCs w:val="20"/>
              </w:rPr>
              <w:br/>
            </w:r>
          </w:p>
          <w:p w14:paraId="5CE62D43" w14:textId="77777777" w:rsidR="0088258A"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p w14:paraId="05634D11" w14:textId="77777777" w:rsidR="0088258A" w:rsidRDefault="0088258A" w:rsidP="0088258A">
            <w:pPr>
              <w:spacing w:line="276" w:lineRule="auto"/>
              <w:rPr>
                <w:rFonts w:ascii="Open Sans Light" w:hAnsi="Open Sans Light" w:cs="Open Sans Light"/>
                <w:sz w:val="20"/>
                <w:szCs w:val="20"/>
              </w:rPr>
            </w:pPr>
          </w:p>
          <w:p w14:paraId="4D9043F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Pr>
          <w:p w14:paraId="328C3CD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905C87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795148F" w14:textId="77777777" w:rsidTr="008A58C1">
        <w:trPr>
          <w:trHeight w:val="328"/>
        </w:trPr>
        <w:tc>
          <w:tcPr>
            <w:tcW w:w="497" w:type="dxa"/>
          </w:tcPr>
          <w:p w14:paraId="731CC8C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7</w:t>
            </w:r>
          </w:p>
        </w:tc>
        <w:tc>
          <w:tcPr>
            <w:tcW w:w="2337" w:type="dxa"/>
          </w:tcPr>
          <w:p w14:paraId="324E82A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3926" w:type="dxa"/>
          </w:tcPr>
          <w:p w14:paraId="08F657B2" w14:textId="77777777" w:rsidR="0088258A" w:rsidRPr="00E55F86" w:rsidRDefault="0088258A" w:rsidP="0088258A">
            <w:pPr>
              <w:autoSpaceDE w:val="0"/>
              <w:autoSpaceDN w:val="0"/>
              <w:adjustRightInd w:val="0"/>
              <w:jc w:val="both"/>
              <w:rPr>
                <w:rFonts w:ascii="Open Sans Light" w:hAnsi="Open Sans Light" w:cs="Open Sans Light"/>
                <w:sz w:val="20"/>
                <w:szCs w:val="20"/>
              </w:rPr>
            </w:pPr>
            <w:r w:rsidRPr="00E55F86">
              <w:rPr>
                <w:rFonts w:ascii="Open Sans Light" w:hAnsi="Open Sans Light" w:cs="Open Sans Light"/>
                <w:sz w:val="20"/>
                <w:szCs w:val="20"/>
              </w:rPr>
              <w:t xml:space="preserve">Projekt jest realizowany na jednym </w:t>
            </w:r>
            <w:r w:rsidRPr="00E55F86">
              <w:rPr>
                <w:rFonts w:ascii="Open Sans Light" w:hAnsi="Open Sans Light" w:cs="Open Sans Light"/>
                <w:sz w:val="20"/>
                <w:szCs w:val="20"/>
              </w:rPr>
              <w:br/>
              <w:t>z dwóch obszarów strategicznej interwencji wskazanych w KSRR, tj. na obszarze Polski Wschodniej lub na Śląsku.</w:t>
            </w:r>
          </w:p>
        </w:tc>
        <w:tc>
          <w:tcPr>
            <w:tcW w:w="4462" w:type="dxa"/>
          </w:tcPr>
          <w:p w14:paraId="6D8F0F2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na obszarze Polski Wschodniej/Śląska;</w:t>
            </w:r>
          </w:p>
          <w:p w14:paraId="2444E339" w14:textId="77777777" w:rsidR="0088258A" w:rsidRPr="00E55F86" w:rsidRDefault="0088258A" w:rsidP="0088258A">
            <w:pPr>
              <w:spacing w:line="276" w:lineRule="auto"/>
              <w:rPr>
                <w:rFonts w:ascii="Open Sans Light" w:hAnsi="Open Sans Light" w:cs="Open Sans Light"/>
                <w:sz w:val="20"/>
                <w:szCs w:val="20"/>
              </w:rPr>
            </w:pPr>
          </w:p>
          <w:p w14:paraId="01CDC10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tc>
        <w:tc>
          <w:tcPr>
            <w:tcW w:w="984" w:type="dxa"/>
          </w:tcPr>
          <w:p w14:paraId="4D72C95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7A1DC81"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C9EDF5F" w14:textId="77777777" w:rsidTr="008A58C1">
        <w:trPr>
          <w:trHeight w:val="328"/>
        </w:trPr>
        <w:tc>
          <w:tcPr>
            <w:tcW w:w="497" w:type="dxa"/>
          </w:tcPr>
          <w:p w14:paraId="1D4287AB"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8</w:t>
            </w:r>
          </w:p>
        </w:tc>
        <w:tc>
          <w:tcPr>
            <w:tcW w:w="2337" w:type="dxa"/>
          </w:tcPr>
          <w:p w14:paraId="1C5B7D2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 xml:space="preserve">Projekt wynikający z zapisów strategii terytorialnej (ZIT lub IIT), bądź strategii rozwoju </w:t>
            </w:r>
            <w:r w:rsidRPr="00E55F86">
              <w:rPr>
                <w:rFonts w:ascii="Open Sans Light" w:hAnsi="Open Sans Light" w:cs="Open Sans Light"/>
                <w:sz w:val="20"/>
                <w:szCs w:val="20"/>
              </w:rPr>
              <w:lastRenderedPageBreak/>
              <w:t>ponadlokalnego albo wynikający z dokumentów strategicznych i/lub planistycznych powstałych w ramach współpracy samorządów (w tym takich jak Centrum Wsparcia Doradczego, Partnerska Inicjatywa Miast, Program Rozwój Lokalny) lub komplementarny do ww. dokumentów</w:t>
            </w:r>
          </w:p>
        </w:tc>
        <w:tc>
          <w:tcPr>
            <w:tcW w:w="3926" w:type="dxa"/>
            <w:shd w:val="clear" w:color="auto" w:fill="auto"/>
          </w:tcPr>
          <w:p w14:paraId="7CDDB07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lastRenderedPageBreak/>
              <w:t xml:space="preserve">Czy projekt wynika </w:t>
            </w:r>
            <w:r w:rsidRPr="00E55F86">
              <w:rPr>
                <w:rFonts w:ascii="Open Sans Light" w:hAnsi="Open Sans Light" w:cs="Open Sans Light"/>
                <w:sz w:val="20"/>
                <w:szCs w:val="20"/>
              </w:rPr>
              <w:br/>
              <w:t xml:space="preserve">z zapisów strategii terytorialnej ZIT lub IIT, bądź strategii rozwoju ponadlokalnego albo czy wynika </w:t>
            </w:r>
            <w:r w:rsidRPr="00E55F86">
              <w:rPr>
                <w:rFonts w:ascii="Open Sans Light" w:hAnsi="Open Sans Light" w:cs="Open Sans Light"/>
                <w:sz w:val="20"/>
                <w:szCs w:val="20"/>
              </w:rPr>
              <w:br/>
              <w:t xml:space="preserve">z dokumentów strategicznych i/lub </w:t>
            </w:r>
            <w:r w:rsidRPr="00E55F86">
              <w:rPr>
                <w:rFonts w:ascii="Open Sans Light" w:hAnsi="Open Sans Light" w:cs="Open Sans Light"/>
                <w:sz w:val="20"/>
                <w:szCs w:val="20"/>
              </w:rPr>
              <w:lastRenderedPageBreak/>
              <w:t xml:space="preserve">planistycznych powstałych w ramach współpracy samorządów (w tym takich jak Centrum Wsparcia Doradczego, Partnerska Inicjatywa Miast, Program Rozwój Lokalny lub czy jest komplementarny do ww. dokumentów, </w:t>
            </w:r>
            <w:r w:rsidRPr="00E55F86">
              <w:rPr>
                <w:rFonts w:ascii="Open Sans Light" w:hAnsi="Open Sans Light" w:cs="Open Sans Light"/>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Pr="00E55F86">
              <w:rPr>
                <w:rFonts w:ascii="Open Sans Light" w:hAnsi="Open Sans Light" w:cs="Open Sans Light"/>
                <w:sz w:val="20"/>
                <w:szCs w:val="20"/>
              </w:rPr>
              <w:br/>
              <w:t>w tym również inwestycji innych podmiotów itp.).</w:t>
            </w:r>
          </w:p>
        </w:tc>
        <w:tc>
          <w:tcPr>
            <w:tcW w:w="4462" w:type="dxa"/>
            <w:shd w:val="clear" w:color="auto" w:fill="auto"/>
          </w:tcPr>
          <w:p w14:paraId="5FC88B64"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2 pkt. - projekt wynika z zapisów strategii terytorialnej (ZIT lub IIT) bądź strategii rozwoju ponadlokalnego albo wynika z dokumentów strategicznych i/lub planistycznych powstałych w ramach współpracy samorządów (w tym </w:t>
            </w:r>
            <w:r w:rsidRPr="00E55F86">
              <w:rPr>
                <w:rFonts w:ascii="Open Sans Light" w:hAnsi="Open Sans Light" w:cs="Open Sans Light"/>
                <w:sz w:val="20"/>
                <w:szCs w:val="20"/>
              </w:rPr>
              <w:lastRenderedPageBreak/>
              <w:t>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r w:rsidRPr="00E55F86">
              <w:rPr>
                <w:rFonts w:ascii="Open Sans Light" w:hAnsi="Open Sans Light" w:cs="Open Sans Light"/>
                <w:sz w:val="20"/>
                <w:szCs w:val="20"/>
              </w:rPr>
              <w:br/>
            </w:r>
          </w:p>
          <w:p w14:paraId="2B986F6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r w:rsidRPr="00E55F86">
              <w:rPr>
                <w:rFonts w:ascii="Open Sans Light" w:hAnsi="Open Sans Light" w:cs="Open Sans Light"/>
                <w:sz w:val="20"/>
                <w:szCs w:val="20"/>
              </w:rPr>
              <w:br/>
            </w:r>
          </w:p>
          <w:p w14:paraId="11F63708"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2DA9F05E" w14:textId="77777777" w:rsidR="0088258A" w:rsidRPr="00E55F86" w:rsidRDefault="0088258A" w:rsidP="0088258A">
            <w:pPr>
              <w:spacing w:line="276" w:lineRule="auto"/>
              <w:rPr>
                <w:rFonts w:ascii="Open Sans Light" w:hAnsi="Open Sans Light" w:cs="Open Sans Light"/>
                <w:sz w:val="20"/>
                <w:szCs w:val="20"/>
              </w:rPr>
            </w:pPr>
          </w:p>
          <w:p w14:paraId="6B77246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Punkty nie sumują się</w:t>
            </w:r>
          </w:p>
        </w:tc>
        <w:tc>
          <w:tcPr>
            <w:tcW w:w="984" w:type="dxa"/>
          </w:tcPr>
          <w:p w14:paraId="54BC96F3" w14:textId="77777777" w:rsidR="0088258A" w:rsidRPr="00E55F86" w:rsidRDefault="0088258A" w:rsidP="0088258A">
            <w:pPr>
              <w:spacing w:line="276" w:lineRule="auto"/>
              <w:rPr>
                <w:rFonts w:ascii="Open Sans Light" w:hAnsi="Open Sans Light" w:cs="Open Sans Light"/>
                <w:b/>
                <w:sz w:val="20"/>
                <w:szCs w:val="20"/>
              </w:rPr>
            </w:pPr>
          </w:p>
        </w:tc>
        <w:tc>
          <w:tcPr>
            <w:tcW w:w="2928" w:type="dxa"/>
          </w:tcPr>
          <w:p w14:paraId="61F7DB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AC3407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75EC43E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9</w:t>
            </w:r>
          </w:p>
        </w:tc>
        <w:tc>
          <w:tcPr>
            <w:tcW w:w="2337" w:type="dxa"/>
            <w:tcBorders>
              <w:top w:val="single" w:sz="4" w:space="0" w:color="auto"/>
              <w:left w:val="single" w:sz="4" w:space="0" w:color="auto"/>
              <w:bottom w:val="single" w:sz="4" w:space="0" w:color="auto"/>
              <w:right w:val="single" w:sz="4" w:space="0" w:color="auto"/>
            </w:tcBorders>
          </w:tcPr>
          <w:p w14:paraId="03F619FD"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jest finansowany również z innych źródeł </w:t>
            </w:r>
            <w:r w:rsidRPr="00E55F86">
              <w:rPr>
                <w:rFonts w:ascii="Open Sans Light" w:hAnsi="Open Sans Light" w:cs="Open Sans Light"/>
                <w:sz w:val="20"/>
                <w:szCs w:val="20"/>
              </w:rPr>
              <w:lastRenderedPageBreak/>
              <w:t>finansowania niż fundusze UE.</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34FB862" w14:textId="115361DA"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Czy projekt jest finansowany również </w:t>
            </w:r>
            <w:r w:rsidRPr="00E55F86">
              <w:rPr>
                <w:rFonts w:ascii="Open Sans Light" w:hAnsi="Open Sans Light" w:cs="Open Sans Light"/>
                <w:sz w:val="20"/>
                <w:szCs w:val="20"/>
              </w:rPr>
              <w:br/>
              <w:t xml:space="preserve">z innych źródeł finansowania niż fundusze UE (np. instrumenty finansowe, inwestycje prywatne/publiczne itp.) w </w:t>
            </w:r>
            <w:r w:rsidRPr="00E55F86">
              <w:rPr>
                <w:rFonts w:ascii="Open Sans Light" w:hAnsi="Open Sans Light" w:cs="Open Sans Light"/>
                <w:sz w:val="20"/>
                <w:szCs w:val="20"/>
              </w:rPr>
              <w:lastRenderedPageBreak/>
              <w:t xml:space="preserve">wymiarze wyższym niż minimalny wkład własny wnioskodawcy. </w:t>
            </w:r>
            <w:r w:rsidR="00047E34" w:rsidRPr="00047E34">
              <w:rPr>
                <w:rFonts w:ascii="Open Sans Light" w:hAnsi="Open Sans Light" w:cs="Open Sans Light"/>
                <w:sz w:val="20"/>
                <w:szCs w:val="20"/>
              </w:rPr>
              <w:t>Aby kryterium zostało uznane za spełnione, wkład zapewniany przez wnioskodawcę powinien być podwyższony min. o jeden pkt. proc. względem poziomu całkowitych kosztów kwalifikowalnych możliwych do współfinansowania dla danego projektu (z uwzględnieniem analogicznego podejścia dla projektów objętych uwarunkowaniami dot. pomocy publicznej – tam gdzie ma to zastosowanie).</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6292C9B0" w14:textId="77777777" w:rsidR="00047E34" w:rsidRDefault="00047E34" w:rsidP="0088258A">
            <w:pPr>
              <w:spacing w:line="276" w:lineRule="auto"/>
              <w:rPr>
                <w:rFonts w:ascii="Open Sans Light" w:hAnsi="Open Sans Light" w:cs="Open Sans Light"/>
                <w:sz w:val="20"/>
                <w:szCs w:val="20"/>
              </w:rPr>
            </w:pPr>
            <w:r w:rsidRPr="00047E34">
              <w:rPr>
                <w:rFonts w:ascii="Open Sans Light" w:hAnsi="Open Sans Light" w:cs="Open Sans Light"/>
                <w:sz w:val="20"/>
                <w:szCs w:val="20"/>
              </w:rPr>
              <w:lastRenderedPageBreak/>
              <w:t xml:space="preserve">1 pkt - projekt jest finansowany w zwiększonym wymiarze również z innych źródeł finansowania niż fundusze UE (w tym m.in. wkład własny wnioskodawcy lub inne źródła zewnętrzne), tj. </w:t>
            </w:r>
            <w:r w:rsidRPr="00047E34">
              <w:rPr>
                <w:rFonts w:ascii="Open Sans Light" w:hAnsi="Open Sans Light" w:cs="Open Sans Light"/>
                <w:sz w:val="20"/>
                <w:szCs w:val="20"/>
              </w:rPr>
              <w:lastRenderedPageBreak/>
              <w:t>% poziom dofinansowania UE w projekcie jest mniejszy o minimum 1 punkt procentowy od maksymalnego % poziomu dofinansowania UE możliwego do uzyskania dla danego projektu w odniesieniu do całości kosztów uznanych za kwalifikowalne.</w:t>
            </w:r>
          </w:p>
          <w:p w14:paraId="52F8CADB" w14:textId="3091C080"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w:t>
            </w:r>
          </w:p>
          <w:p w14:paraId="2D8B1FD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4D50F3E9"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35AA2110"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7ACD677"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0F8D3DBF"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10</w:t>
            </w:r>
          </w:p>
        </w:tc>
        <w:tc>
          <w:tcPr>
            <w:tcW w:w="2337" w:type="dxa"/>
            <w:tcBorders>
              <w:top w:val="single" w:sz="4" w:space="0" w:color="auto"/>
              <w:left w:val="single" w:sz="4" w:space="0" w:color="auto"/>
              <w:bottom w:val="single" w:sz="4" w:space="0" w:color="auto"/>
              <w:right w:val="single" w:sz="4" w:space="0" w:color="auto"/>
            </w:tcBorders>
          </w:tcPr>
          <w:p w14:paraId="38868F6B"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wpisuje się w realizację wartości Nowego Europejskiego Bauhausu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D38DD3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przy opracowywaniu projektu uwzględniono wymiary zrównoważonego rozwoju, dostępności i estetyki. 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298AEBD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realizuje założenia NEB;</w:t>
            </w:r>
          </w:p>
          <w:p w14:paraId="518713D6" w14:textId="77777777" w:rsidR="0088258A" w:rsidRPr="00E55F86" w:rsidRDefault="0088258A" w:rsidP="0088258A">
            <w:pPr>
              <w:spacing w:line="276" w:lineRule="auto"/>
              <w:rPr>
                <w:rFonts w:ascii="Open Sans Light" w:hAnsi="Open Sans Light" w:cs="Open Sans Light"/>
                <w:sz w:val="20"/>
                <w:szCs w:val="20"/>
              </w:rPr>
            </w:pPr>
          </w:p>
          <w:p w14:paraId="4610EC6E"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124B2330"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679199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3CDF7EA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1CAC6BA6"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11</w:t>
            </w:r>
          </w:p>
        </w:tc>
        <w:tc>
          <w:tcPr>
            <w:tcW w:w="2337" w:type="dxa"/>
            <w:tcBorders>
              <w:top w:val="single" w:sz="4" w:space="0" w:color="auto"/>
              <w:left w:val="single" w:sz="4" w:space="0" w:color="auto"/>
              <w:bottom w:val="single" w:sz="4" w:space="0" w:color="auto"/>
              <w:right w:val="single" w:sz="4" w:space="0" w:color="auto"/>
            </w:tcBorders>
          </w:tcPr>
          <w:p w14:paraId="1DAA7FA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Partnerstwo międzysektorowe. Kryterium wynika z art. 28a ustawy o zasadach </w:t>
            </w:r>
            <w:r w:rsidRPr="00E55F86">
              <w:rPr>
                <w:rFonts w:ascii="Open Sans Light" w:hAnsi="Open Sans Light" w:cs="Open Sans Light"/>
                <w:sz w:val="20"/>
                <w:szCs w:val="20"/>
              </w:rPr>
              <w:lastRenderedPageBreak/>
              <w:t>prowadzenia polityki rozwoju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30F09E1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Czy projekt realizowany jest w partnerstwie z podmiotami reprezentującymi różne sektory, tj. prywatny, publiczny, pozarządowy.</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19ED791A"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w partnerstwie z co najmniej jednym podmiotem z następujących sektorów: publiczny, prywatny, pozarządowy;</w:t>
            </w:r>
          </w:p>
          <w:p w14:paraId="464B9C62" w14:textId="77777777" w:rsidR="0088258A" w:rsidRPr="00E55F86" w:rsidRDefault="0088258A" w:rsidP="0088258A">
            <w:pPr>
              <w:spacing w:line="276" w:lineRule="auto"/>
              <w:rPr>
                <w:rFonts w:ascii="Open Sans Light" w:hAnsi="Open Sans Light" w:cs="Open Sans Light"/>
                <w:sz w:val="20"/>
                <w:szCs w:val="20"/>
              </w:rPr>
            </w:pPr>
          </w:p>
          <w:p w14:paraId="5DBB2F7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0 pkt. – projekt nie jest realizowany w partnerstwie z co najmniej jednym podmiotem z następujących sektorów: publiczny, prywatny, pozarządowy.</w:t>
            </w:r>
          </w:p>
        </w:tc>
        <w:tc>
          <w:tcPr>
            <w:tcW w:w="984" w:type="dxa"/>
            <w:tcBorders>
              <w:top w:val="single" w:sz="4" w:space="0" w:color="auto"/>
              <w:left w:val="single" w:sz="4" w:space="0" w:color="auto"/>
              <w:bottom w:val="single" w:sz="4" w:space="0" w:color="auto"/>
              <w:right w:val="single" w:sz="4" w:space="0" w:color="auto"/>
            </w:tcBorders>
          </w:tcPr>
          <w:p w14:paraId="71180C11"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4293D858"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2C96E7F4"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3A21710D" w14:textId="77777777" w:rsidR="0088258A" w:rsidRPr="00E55F86" w:rsidRDefault="0088258A" w:rsidP="0088258A">
            <w:pPr>
              <w:spacing w:line="276" w:lineRule="auto"/>
              <w:rPr>
                <w:rFonts w:ascii="Open Sans Light" w:hAnsi="Open Sans Light" w:cs="Open Sans Light"/>
                <w:b/>
                <w:sz w:val="20"/>
                <w:szCs w:val="20"/>
              </w:rPr>
            </w:pPr>
          </w:p>
        </w:tc>
        <w:tc>
          <w:tcPr>
            <w:tcW w:w="2337" w:type="dxa"/>
            <w:tcBorders>
              <w:top w:val="single" w:sz="4" w:space="0" w:color="auto"/>
              <w:left w:val="single" w:sz="4" w:space="0" w:color="auto"/>
              <w:bottom w:val="single" w:sz="4" w:space="0" w:color="auto"/>
              <w:right w:val="single" w:sz="4" w:space="0" w:color="auto"/>
            </w:tcBorders>
          </w:tcPr>
          <w:p w14:paraId="2FFAE062" w14:textId="77777777" w:rsidR="0088258A" w:rsidRPr="00E55F86" w:rsidRDefault="0088258A" w:rsidP="0088258A">
            <w:pPr>
              <w:spacing w:line="276" w:lineRule="auto"/>
              <w:rPr>
                <w:rFonts w:ascii="Open Sans Light" w:hAnsi="Open Sans Light" w:cs="Open Sans Light"/>
                <w:sz w:val="20"/>
                <w:szCs w:val="20"/>
              </w:rPr>
            </w:pP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467ECF37" w14:textId="77777777" w:rsidR="0088258A" w:rsidRPr="00E55F86" w:rsidRDefault="0088258A" w:rsidP="0088258A">
            <w:pPr>
              <w:spacing w:line="276" w:lineRule="auto"/>
              <w:rPr>
                <w:rFonts w:ascii="Open Sans Light" w:hAnsi="Open Sans Light" w:cs="Open Sans Light"/>
                <w:sz w:val="20"/>
                <w:szCs w:val="20"/>
              </w:rPr>
            </w:pP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09E052FE" w14:textId="5CBBCC0A" w:rsidR="0088258A" w:rsidRPr="0088258A" w:rsidRDefault="0088258A" w:rsidP="0088258A">
            <w:pPr>
              <w:spacing w:line="276" w:lineRule="auto"/>
              <w:jc w:val="right"/>
              <w:rPr>
                <w:rFonts w:ascii="Open Sans Light" w:hAnsi="Open Sans Light" w:cs="Open Sans Light"/>
                <w:b/>
                <w:sz w:val="20"/>
                <w:szCs w:val="20"/>
              </w:rPr>
            </w:pPr>
            <w:r w:rsidRPr="0088258A">
              <w:rPr>
                <w:rFonts w:ascii="Open Sans Light" w:hAnsi="Open Sans Light" w:cs="Open Sans Light"/>
                <w:b/>
                <w:sz w:val="20"/>
                <w:szCs w:val="20"/>
              </w:rPr>
              <w:t>SUMA:</w:t>
            </w:r>
          </w:p>
        </w:tc>
        <w:tc>
          <w:tcPr>
            <w:tcW w:w="984" w:type="dxa"/>
            <w:tcBorders>
              <w:top w:val="single" w:sz="4" w:space="0" w:color="auto"/>
              <w:left w:val="single" w:sz="4" w:space="0" w:color="auto"/>
              <w:bottom w:val="single" w:sz="4" w:space="0" w:color="auto"/>
              <w:right w:val="single" w:sz="4" w:space="0" w:color="auto"/>
            </w:tcBorders>
          </w:tcPr>
          <w:p w14:paraId="7DDC7DDC" w14:textId="77777777" w:rsidR="0088258A" w:rsidRPr="0088258A" w:rsidRDefault="0088258A" w:rsidP="0088258A">
            <w:pPr>
              <w:spacing w:line="276" w:lineRule="auto"/>
              <w:jc w:val="right"/>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0ED56BD8" w14:textId="77777777" w:rsidR="0088258A" w:rsidRPr="00E55F86" w:rsidRDefault="0088258A" w:rsidP="0088258A">
            <w:pPr>
              <w:spacing w:line="276" w:lineRule="auto"/>
              <w:rPr>
                <w:rFonts w:ascii="Open Sans Light" w:hAnsi="Open Sans Light" w:cs="Open Sans Light"/>
                <w:b/>
                <w:sz w:val="20"/>
                <w:szCs w:val="20"/>
              </w:rPr>
            </w:pPr>
          </w:p>
        </w:tc>
      </w:tr>
    </w:tbl>
    <w:p w14:paraId="650AF94D" w14:textId="77777777" w:rsidR="00C220EB" w:rsidRPr="00E55F86" w:rsidRDefault="00C220EB" w:rsidP="00C220EB">
      <w:pPr>
        <w:spacing w:line="276" w:lineRule="auto"/>
        <w:rPr>
          <w:rFonts w:ascii="Open Sans Light" w:hAnsi="Open Sans Light" w:cs="Open Sans Light"/>
          <w:b/>
          <w:sz w:val="20"/>
          <w:szCs w:val="20"/>
        </w:rPr>
      </w:pPr>
    </w:p>
    <w:p w14:paraId="710AEBFE" w14:textId="1191F300" w:rsidR="008F7508" w:rsidRPr="00E55F86" w:rsidRDefault="008F7508" w:rsidP="00C220EB">
      <w:pPr>
        <w:spacing w:line="276" w:lineRule="auto"/>
        <w:rPr>
          <w:rFonts w:ascii="Open Sans Light" w:hAnsi="Open Sans Light" w:cs="Open Sans Light"/>
          <w:b/>
          <w:sz w:val="20"/>
          <w:szCs w:val="20"/>
        </w:rPr>
      </w:pPr>
      <w:r w:rsidRPr="00E55F86">
        <w:rPr>
          <w:rFonts w:ascii="Open Sans Light" w:hAnsi="Open Sans Light" w:cs="Open Sans Light"/>
          <w:b/>
          <w:bCs/>
          <w:sz w:val="20"/>
          <w:szCs w:val="20"/>
        </w:rPr>
        <w:t>Wymagane minimum, aby projekt pozytywnie przeszedł ocenę merytoryczna I stopnia wyno</w:t>
      </w:r>
      <w:r w:rsidR="00474064" w:rsidRPr="00E55F86">
        <w:rPr>
          <w:rFonts w:ascii="Open Sans Light" w:hAnsi="Open Sans Light" w:cs="Open Sans Light"/>
          <w:b/>
          <w:bCs/>
          <w:sz w:val="20"/>
          <w:szCs w:val="20"/>
        </w:rPr>
        <w:t>si 5</w:t>
      </w:r>
      <w:r w:rsidRPr="00E55F86">
        <w:rPr>
          <w:rFonts w:ascii="Open Sans Light" w:hAnsi="Open Sans Light" w:cs="Open Sans Light"/>
          <w:b/>
          <w:bCs/>
          <w:sz w:val="20"/>
          <w:szCs w:val="20"/>
        </w:rPr>
        <w:t>0 % maksymalnej liczby punktów możliwych do uzyskania</w:t>
      </w:r>
      <w:r w:rsidR="0037250A" w:rsidRPr="00E55F86">
        <w:rPr>
          <w:rFonts w:ascii="Open Sans Light" w:hAnsi="Open Sans Light" w:cs="Open Sans Light"/>
          <w:b/>
          <w:bCs/>
          <w:sz w:val="20"/>
          <w:szCs w:val="20"/>
        </w:rPr>
        <w:t xml:space="preserve"> </w:t>
      </w:r>
      <w:r w:rsidRPr="00E55F86">
        <w:rPr>
          <w:rFonts w:ascii="Open Sans Light" w:hAnsi="Open Sans Light" w:cs="Open Sans Light"/>
          <w:b/>
          <w:bCs/>
          <w:sz w:val="20"/>
          <w:szCs w:val="20"/>
        </w:rPr>
        <w:t xml:space="preserve">– </w:t>
      </w:r>
      <w:r w:rsidR="0037250A" w:rsidRPr="00E55F86">
        <w:rPr>
          <w:rFonts w:ascii="Open Sans Light" w:hAnsi="Open Sans Light" w:cs="Open Sans Light"/>
          <w:b/>
          <w:bCs/>
          <w:sz w:val="20"/>
          <w:szCs w:val="20"/>
        </w:rPr>
        <w:t>tj.</w:t>
      </w:r>
      <w:r w:rsidR="008B6E2C" w:rsidRPr="00E55F86">
        <w:rPr>
          <w:rFonts w:ascii="Open Sans Light" w:hAnsi="Open Sans Light" w:cs="Open Sans Light"/>
          <w:b/>
          <w:bCs/>
          <w:sz w:val="20"/>
          <w:szCs w:val="20"/>
        </w:rPr>
        <w:t xml:space="preserve"> </w:t>
      </w:r>
      <w:r w:rsidR="00474064" w:rsidRPr="00E55F86">
        <w:rPr>
          <w:rFonts w:ascii="Open Sans Light" w:hAnsi="Open Sans Light" w:cs="Open Sans Light"/>
          <w:b/>
          <w:bCs/>
          <w:sz w:val="20"/>
          <w:szCs w:val="20"/>
        </w:rPr>
        <w:t>6</w:t>
      </w:r>
      <w:r w:rsidR="0088258A">
        <w:rPr>
          <w:rFonts w:ascii="Open Sans Light" w:hAnsi="Open Sans Light" w:cs="Open Sans Light"/>
          <w:b/>
          <w:bCs/>
          <w:sz w:val="20"/>
          <w:szCs w:val="20"/>
        </w:rPr>
        <w:t>0</w:t>
      </w:r>
      <w:r w:rsidR="00864F18" w:rsidRPr="00E55F86">
        <w:rPr>
          <w:rFonts w:ascii="Open Sans Light" w:hAnsi="Open Sans Light" w:cs="Open Sans Light"/>
          <w:b/>
          <w:bCs/>
          <w:sz w:val="20"/>
          <w:szCs w:val="20"/>
        </w:rPr>
        <w:t>/</w:t>
      </w:r>
      <w:r w:rsidR="00047E34">
        <w:rPr>
          <w:rFonts w:ascii="Open Sans Light" w:hAnsi="Open Sans Light" w:cs="Open Sans Light"/>
          <w:b/>
          <w:bCs/>
          <w:sz w:val="20"/>
          <w:szCs w:val="20"/>
        </w:rPr>
        <w:t>120</w:t>
      </w:r>
      <w:bookmarkStart w:id="0" w:name="_GoBack"/>
      <w:bookmarkEnd w:id="0"/>
      <w:r w:rsidR="00864F18" w:rsidRPr="00E55F86">
        <w:rPr>
          <w:rFonts w:ascii="Open Sans Light" w:hAnsi="Open Sans Light" w:cs="Open Sans Light"/>
          <w:b/>
          <w:bCs/>
          <w:sz w:val="20"/>
          <w:szCs w:val="20"/>
        </w:rPr>
        <w:t xml:space="preserve"> w projektach dedykowanych wyłącznie </w:t>
      </w:r>
      <w:r w:rsidR="00E7639C">
        <w:rPr>
          <w:rFonts w:ascii="Open Sans Light" w:hAnsi="Open Sans Light" w:cs="Open Sans Light"/>
          <w:b/>
          <w:bCs/>
          <w:sz w:val="20"/>
          <w:szCs w:val="20"/>
        </w:rPr>
        <w:t>Instalacji</w:t>
      </w:r>
    </w:p>
    <w:p w14:paraId="4B0C5420" w14:textId="77777777" w:rsidR="00247681" w:rsidRPr="00E55F86" w:rsidRDefault="00247681" w:rsidP="00247681">
      <w:pPr>
        <w:rPr>
          <w:rFonts w:ascii="Open Sans Light" w:hAnsi="Open Sans Light" w:cs="Open Sans Light"/>
          <w:b/>
          <w:sz w:val="20"/>
          <w:szCs w:val="20"/>
        </w:rPr>
      </w:pPr>
      <w:r w:rsidRPr="00E55F86">
        <w:rPr>
          <w:rFonts w:ascii="Open Sans Light" w:hAnsi="Open Sans Light" w:cs="Open Sans Light"/>
          <w:b/>
          <w:sz w:val="20"/>
          <w:szCs w:val="20"/>
        </w:rPr>
        <w:t xml:space="preserve">Istnieje możliwość poprawy/uzupełnienia projektu w zakresie poniższych kryteriów na etapie oceny spełnienia kryteriów wyboru (zgodnie z art. </w:t>
      </w:r>
      <w:r w:rsidR="00EA38EB" w:rsidRPr="00E55F86">
        <w:rPr>
          <w:rFonts w:ascii="Open Sans Light" w:hAnsi="Open Sans Light" w:cs="Open Sans Light"/>
          <w:b/>
          <w:sz w:val="20"/>
          <w:szCs w:val="20"/>
        </w:rPr>
        <w:t>55</w:t>
      </w:r>
      <w:r w:rsidRPr="00E55F86">
        <w:rPr>
          <w:rFonts w:ascii="Open Sans Light" w:hAnsi="Open Sans Light" w:cs="Open Sans Light"/>
          <w:b/>
          <w:sz w:val="20"/>
          <w:szCs w:val="20"/>
        </w:rPr>
        <w:t xml:space="preserve"> ustawy wdrożeniowej).</w:t>
      </w:r>
    </w:p>
    <w:p w14:paraId="33043C59" w14:textId="77777777" w:rsidR="008F7508" w:rsidRDefault="008F7508" w:rsidP="00C220EB">
      <w:pPr>
        <w:spacing w:line="276" w:lineRule="auto"/>
        <w:rPr>
          <w:rFonts w:ascii="Open Sans Light" w:hAnsi="Open Sans Light" w:cs="Open Sans Light"/>
          <w:b/>
          <w:sz w:val="20"/>
          <w:szCs w:val="20"/>
        </w:rPr>
      </w:pPr>
    </w:p>
    <w:p w14:paraId="48AD8353" w14:textId="77777777" w:rsidR="00C504EB" w:rsidRPr="00E55F86" w:rsidRDefault="00C504EB" w:rsidP="00C220EB">
      <w:pPr>
        <w:spacing w:line="276" w:lineRule="auto"/>
        <w:rPr>
          <w:rFonts w:ascii="Open Sans Light" w:hAnsi="Open Sans Light" w:cs="Open Sans Light"/>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6127FC">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77777777" w:rsidR="006419B5" w:rsidRPr="00E55F86" w:rsidRDefault="006419B5" w:rsidP="00E55F86">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E55F86" w:rsidRPr="00E55F86">
              <w:rPr>
                <w:rFonts w:ascii="Open Sans Light" w:hAnsi="Open Sans Light" w:cs="Open Sans Light"/>
                <w:sz w:val="20"/>
                <w:szCs w:val="20"/>
              </w:rPr>
              <w:t>5</w:t>
            </w:r>
            <w:r w:rsidR="006B3A72" w:rsidRPr="00E55F86">
              <w:rPr>
                <w:rFonts w:ascii="Open Sans Light" w:hAnsi="Open Sans Light" w:cs="Open Sans Light"/>
                <w:sz w:val="20"/>
                <w:szCs w:val="20"/>
              </w:rPr>
              <w:t>0%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6127FC">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6127FC">
            <w:pPr>
              <w:spacing w:line="276" w:lineRule="auto"/>
              <w:jc w:val="center"/>
              <w:rPr>
                <w:rFonts w:ascii="Open Sans Light" w:hAnsi="Open Sans Light" w:cs="Open Sans Light"/>
                <w:sz w:val="20"/>
                <w:szCs w:val="20"/>
              </w:rPr>
            </w:pPr>
          </w:p>
        </w:tc>
      </w:tr>
    </w:tbl>
    <w:p w14:paraId="3C7F8396" w14:textId="77777777" w:rsidR="006419B5" w:rsidRPr="00E55F86" w:rsidRDefault="006419B5" w:rsidP="006419B5">
      <w:pPr>
        <w:tabs>
          <w:tab w:val="left" w:pos="8820"/>
        </w:tabs>
        <w:spacing w:line="276" w:lineRule="auto"/>
        <w:rPr>
          <w:rFonts w:ascii="Open Sans Light" w:hAnsi="Open Sans Light" w:cs="Open Sans Light"/>
          <w:sz w:val="20"/>
          <w:szCs w:val="20"/>
        </w:rPr>
      </w:pPr>
    </w:p>
    <w:p w14:paraId="02E7ED0F" w14:textId="77777777" w:rsidR="00C220EB" w:rsidRPr="00E55F86" w:rsidRDefault="00C220EB" w:rsidP="00C220EB">
      <w:pPr>
        <w:spacing w:line="276" w:lineRule="auto"/>
        <w:rPr>
          <w:rFonts w:ascii="Open Sans Light" w:hAnsi="Open Sans Light" w:cs="Open Sans Light"/>
          <w:sz w:val="20"/>
          <w:szCs w:val="20"/>
        </w:rPr>
      </w:pPr>
      <w:r w:rsidRPr="00E55F86">
        <w:rPr>
          <w:rFonts w:ascii="Open Sans Light" w:hAnsi="Open Sans Light" w:cs="Open Sans Light"/>
          <w:b/>
          <w:sz w:val="20"/>
          <w:szCs w:val="20"/>
        </w:rPr>
        <w:t>Decyzja</w:t>
      </w:r>
      <w:r w:rsidR="00355237" w:rsidRPr="00E55F86">
        <w:rPr>
          <w:rStyle w:val="Odwoanieprzypisudolnego"/>
          <w:rFonts w:ascii="Open Sans Light" w:hAnsi="Open Sans Light" w:cs="Open Sans Light"/>
          <w:b/>
          <w:sz w:val="20"/>
          <w:szCs w:val="20"/>
        </w:rPr>
        <w:footnoteReference w:id="2"/>
      </w:r>
      <w:r w:rsidRPr="00E55F86">
        <w:rPr>
          <w:rFonts w:ascii="Open Sans Light" w:hAnsi="Open Sans Light" w:cs="Open Sans Light"/>
          <w:sz w:val="20"/>
          <w:szCs w:val="20"/>
        </w:rPr>
        <w:t>………………………………………………………………………………………</w:t>
      </w:r>
    </w:p>
    <w:p w14:paraId="167E0A94" w14:textId="77777777" w:rsidR="00C220EB" w:rsidRPr="00E55F86" w:rsidRDefault="00C220EB" w:rsidP="00C220EB">
      <w:pPr>
        <w:spacing w:line="276" w:lineRule="auto"/>
        <w:rPr>
          <w:rFonts w:ascii="Open Sans Light" w:hAnsi="Open Sans Light" w:cs="Open Sans Light"/>
          <w:sz w:val="20"/>
          <w:szCs w:val="20"/>
        </w:rPr>
      </w:pPr>
    </w:p>
    <w:p w14:paraId="7C689719"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oceniającej: …………………………</w:t>
      </w:r>
    </w:p>
    <w:p w14:paraId="537987ED"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786074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Podpis:…………………………..</w:t>
      </w:r>
    </w:p>
    <w:p w14:paraId="274FFDB9" w14:textId="77777777" w:rsidR="00925D99" w:rsidRPr="00E55F86" w:rsidRDefault="00925D99" w:rsidP="00925D99">
      <w:pPr>
        <w:spacing w:line="276" w:lineRule="auto"/>
        <w:rPr>
          <w:rFonts w:ascii="Open Sans Light" w:hAnsi="Open Sans Light" w:cs="Open Sans Light"/>
          <w:sz w:val="20"/>
          <w:szCs w:val="20"/>
        </w:rPr>
      </w:pPr>
    </w:p>
    <w:p w14:paraId="42C55948" w14:textId="77777777" w:rsidR="00925D99" w:rsidRPr="00E55F86" w:rsidRDefault="00925D99" w:rsidP="00925D99">
      <w:pPr>
        <w:spacing w:line="276" w:lineRule="auto"/>
        <w:rPr>
          <w:rFonts w:ascii="Open Sans Light" w:hAnsi="Open Sans Light" w:cs="Open Sans Light"/>
          <w:sz w:val="20"/>
          <w:szCs w:val="20"/>
        </w:rPr>
      </w:pPr>
    </w:p>
    <w:p w14:paraId="27FEE60A"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weryfikującej: …………………………</w:t>
      </w:r>
    </w:p>
    <w:p w14:paraId="78CBE1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4084A9C0" w14:textId="77777777" w:rsidR="005D62B4" w:rsidRPr="00E55F86" w:rsidRDefault="00925D99" w:rsidP="00D008AE">
      <w:pPr>
        <w:tabs>
          <w:tab w:val="num" w:pos="720"/>
        </w:tabs>
        <w:spacing w:before="240" w:line="276" w:lineRule="auto"/>
        <w:rPr>
          <w:rFonts w:ascii="Open Sans Light" w:hAnsi="Open Sans Light" w:cs="Open Sans Light"/>
          <w:b/>
          <w:sz w:val="20"/>
          <w:szCs w:val="20"/>
        </w:rPr>
      </w:pPr>
      <w:r w:rsidRPr="00E55F86">
        <w:rPr>
          <w:rFonts w:ascii="Open Sans Light" w:hAnsi="Open Sans Light" w:cs="Open Sans Light"/>
          <w:sz w:val="20"/>
          <w:szCs w:val="20"/>
        </w:rPr>
        <w:t>Podpis:…………………………..</w:t>
      </w:r>
      <w:bookmarkStart w:id="1" w:name="_czesc:S_rozdzial:XXX_art:233_par:5_pkt:"/>
      <w:bookmarkEnd w:id="1"/>
    </w:p>
    <w:sectPr w:rsidR="005D62B4"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2EA91" w14:textId="77777777" w:rsidR="00B81422" w:rsidRDefault="00B81422">
      <w:r>
        <w:separator/>
      </w:r>
    </w:p>
  </w:endnote>
  <w:endnote w:type="continuationSeparator" w:id="0">
    <w:p w14:paraId="31140713" w14:textId="77777777" w:rsidR="00B81422" w:rsidRDefault="00B81422">
      <w:r>
        <w:continuationSeparator/>
      </w:r>
    </w:p>
  </w:endnote>
  <w:endnote w:type="continuationNotice" w:id="1">
    <w:p w14:paraId="4ACC6622" w14:textId="77777777" w:rsidR="00B81422" w:rsidRDefault="00B814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panose1 w:val="00000000000000000000"/>
    <w:charset w:val="EE"/>
    <w:family w:val="auto"/>
    <w:pitch w:val="variable"/>
    <w:sig w:usb0="E00002FF" w:usb1="4000201B" w:usb2="00000028" w:usb3="00000000" w:csb0="0000019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47DA59" id="_x0000_t202" coordsize="21600,21600" o:spt="202" path="m,l,21600r21600,l21600,xe">
              <v:stroke joinstyle="miter"/>
              <v:path gradientshapeok="t" o:connecttype="rect"/>
            </v:shapetype>
            <v:shape id="Text Box 1" o:spid="_x0000_s1026" type="#_x0000_t202"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E7288" w14:textId="7192342B"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047E34">
      <w:rPr>
        <w:rFonts w:ascii="Arial" w:hAnsi="Arial" w:cs="Arial"/>
        <w:noProof/>
        <w:sz w:val="20"/>
        <w:szCs w:val="20"/>
      </w:rPr>
      <w:t>8</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BAB9C" w14:textId="77777777" w:rsidR="00B81422" w:rsidRDefault="00B81422">
      <w:r>
        <w:separator/>
      </w:r>
    </w:p>
  </w:footnote>
  <w:footnote w:type="continuationSeparator" w:id="0">
    <w:p w14:paraId="3FE59AA0" w14:textId="77777777" w:rsidR="00B81422" w:rsidRDefault="00B81422">
      <w:r>
        <w:continuationSeparator/>
      </w:r>
    </w:p>
  </w:footnote>
  <w:footnote w:type="continuationNotice" w:id="1">
    <w:p w14:paraId="0440D65F" w14:textId="77777777" w:rsidR="00B81422" w:rsidRDefault="00B81422"/>
  </w:footnote>
  <w:footnote w:id="2">
    <w:p w14:paraId="7490568E" w14:textId="77777777" w:rsidR="00355237" w:rsidRPr="00E55F86" w:rsidRDefault="00355237">
      <w:pPr>
        <w:pStyle w:val="Tekstprzypisudolnego"/>
        <w:rPr>
          <w:rFonts w:ascii="Open Sans Light" w:hAnsi="Open Sans Light" w:cs="Open Sans Light"/>
        </w:rPr>
      </w:pPr>
      <w:r w:rsidRPr="00E55F86">
        <w:rPr>
          <w:rStyle w:val="Odwoanieprzypisudolnego"/>
          <w:rFonts w:ascii="Open Sans Light" w:hAnsi="Open Sans Light" w:cs="Open Sans Light"/>
        </w:rPr>
        <w:footnoteRef/>
      </w:r>
      <w:r w:rsidRPr="00E55F86">
        <w:rPr>
          <w:rFonts w:ascii="Open Sans Light" w:hAnsi="Open Sans Light" w:cs="Open Sans Light"/>
        </w:rPr>
        <w:t xml:space="preserve"> projekt skierowany do dalszej oceny/projekt odrzucony/zwrot do beneficjenta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5EF661C"/>
    <w:multiLevelType w:val="hybridMultilevel"/>
    <w:tmpl w:val="833847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A8B24F"/>
    <w:multiLevelType w:val="hybridMultilevel"/>
    <w:tmpl w:val="29B3F1A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CC77B02"/>
    <w:multiLevelType w:val="hybridMultilevel"/>
    <w:tmpl w:val="4126325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8"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12"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3"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6"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0"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8"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1"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3"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7"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EEA37D5"/>
    <w:multiLevelType w:val="hybridMultilevel"/>
    <w:tmpl w:val="998D59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8"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9"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4"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9"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5"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7"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1"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5"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6"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1"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3"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5"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7"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9"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0"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4"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5"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6"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8"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0"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1"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60"/>
  </w:num>
  <w:num w:numId="6">
    <w:abstractNumId w:val="9"/>
  </w:num>
  <w:num w:numId="7">
    <w:abstractNumId w:val="69"/>
  </w:num>
  <w:num w:numId="8">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num>
  <w:num w:numId="10">
    <w:abstractNumId w:val="98"/>
  </w:num>
  <w:num w:numId="11">
    <w:abstractNumId w:val="112"/>
  </w:num>
  <w:num w:numId="12">
    <w:abstractNumId w:val="13"/>
  </w:num>
  <w:num w:numId="13">
    <w:abstractNumId w:val="65"/>
  </w:num>
  <w:num w:numId="14">
    <w:abstractNumId w:val="42"/>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25"/>
  </w:num>
  <w:num w:numId="18">
    <w:abstractNumId w:val="72"/>
  </w:num>
  <w:num w:numId="19">
    <w:abstractNumId w:val="74"/>
  </w:num>
  <w:num w:numId="20">
    <w:abstractNumId w:val="45"/>
  </w:num>
  <w:num w:numId="21">
    <w:abstractNumId w:val="73"/>
  </w:num>
  <w:num w:numId="22">
    <w:abstractNumId w:val="37"/>
  </w:num>
  <w:num w:numId="23">
    <w:abstractNumId w:val="110"/>
  </w:num>
  <w:num w:numId="24">
    <w:abstractNumId w:val="18"/>
  </w:num>
  <w:num w:numId="25">
    <w:abstractNumId w:val="92"/>
  </w:num>
  <w:num w:numId="26">
    <w:abstractNumId w:val="30"/>
  </w:num>
  <w:num w:numId="27">
    <w:abstractNumId w:val="56"/>
  </w:num>
  <w:num w:numId="28">
    <w:abstractNumId w:val="93"/>
  </w:num>
  <w:num w:numId="29">
    <w:abstractNumId w:val="33"/>
  </w:num>
  <w:num w:numId="30">
    <w:abstractNumId w:val="91"/>
  </w:num>
  <w:num w:numId="31">
    <w:abstractNumId w:val="58"/>
  </w:num>
  <w:num w:numId="32">
    <w:abstractNumId w:val="66"/>
  </w:num>
  <w:num w:numId="33">
    <w:abstractNumId w:val="108"/>
  </w:num>
  <w:num w:numId="34">
    <w:abstractNumId w:val="109"/>
  </w:num>
  <w:num w:numId="35">
    <w:abstractNumId w:val="40"/>
  </w:num>
  <w:num w:numId="36">
    <w:abstractNumId w:val="29"/>
  </w:num>
  <w:num w:numId="37">
    <w:abstractNumId w:val="111"/>
  </w:num>
  <w:num w:numId="38">
    <w:abstractNumId w:val="71"/>
  </w:num>
  <w:num w:numId="39">
    <w:abstractNumId w:val="41"/>
  </w:num>
  <w:num w:numId="40">
    <w:abstractNumId w:val="15"/>
  </w:num>
  <w:num w:numId="41">
    <w:abstractNumId w:val="114"/>
  </w:num>
  <w:num w:numId="42">
    <w:abstractNumId w:val="49"/>
  </w:num>
  <w:num w:numId="43">
    <w:abstractNumId w:val="96"/>
  </w:num>
  <w:num w:numId="44">
    <w:abstractNumId w:val="23"/>
  </w:num>
  <w:num w:numId="45">
    <w:abstractNumId w:val="43"/>
  </w:num>
  <w:num w:numId="46">
    <w:abstractNumId w:val="70"/>
  </w:num>
  <w:num w:numId="47">
    <w:abstractNumId w:val="19"/>
  </w:num>
  <w:num w:numId="48">
    <w:abstractNumId w:val="102"/>
  </w:num>
  <w:num w:numId="49">
    <w:abstractNumId w:val="87"/>
  </w:num>
  <w:num w:numId="50">
    <w:abstractNumId w:val="83"/>
  </w:num>
  <w:num w:numId="51">
    <w:abstractNumId w:val="81"/>
  </w:num>
  <w:num w:numId="52">
    <w:abstractNumId w:val="8"/>
  </w:num>
  <w:num w:numId="53">
    <w:abstractNumId w:val="75"/>
  </w:num>
  <w:num w:numId="54">
    <w:abstractNumId w:val="11"/>
  </w:num>
  <w:num w:numId="55">
    <w:abstractNumId w:val="32"/>
  </w:num>
  <w:num w:numId="56">
    <w:abstractNumId w:val="17"/>
  </w:num>
  <w:num w:numId="57">
    <w:abstractNumId w:val="107"/>
  </w:num>
  <w:num w:numId="58">
    <w:abstractNumId w:val="47"/>
  </w:num>
  <w:num w:numId="59">
    <w:abstractNumId w:val="28"/>
  </w:num>
  <w:num w:numId="60">
    <w:abstractNumId w:val="46"/>
  </w:num>
  <w:num w:numId="61">
    <w:abstractNumId w:val="34"/>
  </w:num>
  <w:num w:numId="62">
    <w:abstractNumId w:val="27"/>
  </w:num>
  <w:num w:numId="63">
    <w:abstractNumId w:val="62"/>
  </w:num>
  <w:num w:numId="64">
    <w:abstractNumId w:val="12"/>
  </w:num>
  <w:num w:numId="65">
    <w:abstractNumId w:val="80"/>
  </w:num>
  <w:num w:numId="66">
    <w:abstractNumId w:val="10"/>
  </w:num>
  <w:num w:numId="67">
    <w:abstractNumId w:val="16"/>
  </w:num>
  <w:num w:numId="68">
    <w:abstractNumId w:val="97"/>
  </w:num>
  <w:num w:numId="69">
    <w:abstractNumId w:val="22"/>
  </w:num>
  <w:num w:numId="70">
    <w:abstractNumId w:val="55"/>
  </w:num>
  <w:num w:numId="71">
    <w:abstractNumId w:val="63"/>
  </w:num>
  <w:num w:numId="72">
    <w:abstractNumId w:val="101"/>
  </w:num>
  <w:num w:numId="73">
    <w:abstractNumId w:val="90"/>
  </w:num>
  <w:num w:numId="74">
    <w:abstractNumId w:val="20"/>
  </w:num>
  <w:num w:numId="75">
    <w:abstractNumId w:val="89"/>
  </w:num>
  <w:num w:numId="76">
    <w:abstractNumId w:val="94"/>
  </w:num>
  <w:num w:numId="77">
    <w:abstractNumId w:val="57"/>
  </w:num>
  <w:num w:numId="78">
    <w:abstractNumId w:val="82"/>
  </w:num>
  <w:num w:numId="79">
    <w:abstractNumId w:val="105"/>
  </w:num>
  <w:num w:numId="80">
    <w:abstractNumId w:val="14"/>
  </w:num>
  <w:num w:numId="81">
    <w:abstractNumId w:val="36"/>
  </w:num>
  <w:num w:numId="82">
    <w:abstractNumId w:val="64"/>
  </w:num>
  <w:num w:numId="83">
    <w:abstractNumId w:val="77"/>
  </w:num>
  <w:num w:numId="84">
    <w:abstractNumId w:val="24"/>
  </w:num>
  <w:num w:numId="85">
    <w:abstractNumId w:val="21"/>
  </w:num>
  <w:num w:numId="86">
    <w:abstractNumId w:val="59"/>
  </w:num>
  <w:num w:numId="87">
    <w:abstractNumId w:val="99"/>
  </w:num>
  <w:num w:numId="88">
    <w:abstractNumId w:val="68"/>
  </w:num>
  <w:num w:numId="89">
    <w:abstractNumId w:val="50"/>
  </w:num>
  <w:num w:numId="90">
    <w:abstractNumId w:val="31"/>
  </w:num>
  <w:num w:numId="91">
    <w:abstractNumId w:val="103"/>
  </w:num>
  <w:num w:numId="92">
    <w:abstractNumId w:val="104"/>
  </w:num>
  <w:num w:numId="93">
    <w:abstractNumId w:val="85"/>
  </w:num>
  <w:num w:numId="94">
    <w:abstractNumId w:val="67"/>
  </w:num>
  <w:num w:numId="95">
    <w:abstractNumId w:val="51"/>
  </w:num>
  <w:num w:numId="96">
    <w:abstractNumId w:val="84"/>
  </w:num>
  <w:num w:numId="97">
    <w:abstractNumId w:val="35"/>
  </w:num>
  <w:num w:numId="98">
    <w:abstractNumId w:val="113"/>
  </w:num>
  <w:num w:numId="99">
    <w:abstractNumId w:val="39"/>
  </w:num>
  <w:num w:numId="100">
    <w:abstractNumId w:val="26"/>
  </w:num>
  <w:num w:numId="101">
    <w:abstractNumId w:val="61"/>
  </w:num>
  <w:num w:numId="102">
    <w:abstractNumId w:val="86"/>
  </w:num>
  <w:num w:numId="103">
    <w:abstractNumId w:val="48"/>
  </w:num>
  <w:num w:numId="104">
    <w:abstractNumId w:val="78"/>
  </w:num>
  <w:num w:numId="105">
    <w:abstractNumId w:val="76"/>
  </w:num>
  <w:num w:numId="106">
    <w:abstractNumId w:val="79"/>
  </w:num>
  <w:num w:numId="107">
    <w:abstractNumId w:val="100"/>
  </w:num>
  <w:num w:numId="108">
    <w:abstractNumId w:val="88"/>
  </w:num>
  <w:num w:numId="109">
    <w:abstractNumId w:val="7"/>
  </w:num>
  <w:num w:numId="110">
    <w:abstractNumId w:val="95"/>
  </w:num>
  <w:num w:numId="111">
    <w:abstractNumId w:val="38"/>
  </w:num>
  <w:num w:numId="112">
    <w:abstractNumId w:val="106"/>
  </w:num>
  <w:num w:numId="113">
    <w:abstractNumId w:val="52"/>
  </w:num>
  <w:num w:numId="114">
    <w:abstractNumId w:val="0"/>
  </w:num>
  <w:num w:numId="115">
    <w:abstractNumId w:val="1"/>
  </w:num>
  <w:num w:numId="116">
    <w:abstractNumId w:val="2"/>
  </w:num>
  <w:num w:numId="117">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47E34"/>
    <w:rsid w:val="00050B26"/>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E51"/>
    <w:rsid w:val="00116AF0"/>
    <w:rsid w:val="00117D88"/>
    <w:rsid w:val="00120A6B"/>
    <w:rsid w:val="00120FE5"/>
    <w:rsid w:val="00123FBC"/>
    <w:rsid w:val="00124935"/>
    <w:rsid w:val="00127747"/>
    <w:rsid w:val="0012779D"/>
    <w:rsid w:val="00127F0A"/>
    <w:rsid w:val="0013365B"/>
    <w:rsid w:val="0013378F"/>
    <w:rsid w:val="00136428"/>
    <w:rsid w:val="00137A45"/>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806"/>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35"/>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3FDA"/>
    <w:rsid w:val="003E6780"/>
    <w:rsid w:val="003E7DF3"/>
    <w:rsid w:val="003E7E6F"/>
    <w:rsid w:val="003F05F8"/>
    <w:rsid w:val="003F0F6E"/>
    <w:rsid w:val="003F107F"/>
    <w:rsid w:val="003F39ED"/>
    <w:rsid w:val="003F7E15"/>
    <w:rsid w:val="00400799"/>
    <w:rsid w:val="00402227"/>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9E5"/>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5DD"/>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258A"/>
    <w:rsid w:val="008837FD"/>
    <w:rsid w:val="008844D7"/>
    <w:rsid w:val="0088461A"/>
    <w:rsid w:val="00884CDA"/>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05"/>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00C5"/>
    <w:rsid w:val="00AB26D9"/>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12B2"/>
    <w:rsid w:val="00AF2FC7"/>
    <w:rsid w:val="00AF5ADE"/>
    <w:rsid w:val="00AF6381"/>
    <w:rsid w:val="00AF6A9B"/>
    <w:rsid w:val="00AF6C69"/>
    <w:rsid w:val="00AF7B9F"/>
    <w:rsid w:val="00B011D1"/>
    <w:rsid w:val="00B0175A"/>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438A"/>
    <w:rsid w:val="00B64754"/>
    <w:rsid w:val="00B660E9"/>
    <w:rsid w:val="00B6695D"/>
    <w:rsid w:val="00B751EF"/>
    <w:rsid w:val="00B75702"/>
    <w:rsid w:val="00B7593E"/>
    <w:rsid w:val="00B7629A"/>
    <w:rsid w:val="00B76772"/>
    <w:rsid w:val="00B76CE2"/>
    <w:rsid w:val="00B76E18"/>
    <w:rsid w:val="00B77A27"/>
    <w:rsid w:val="00B77F63"/>
    <w:rsid w:val="00B80F9E"/>
    <w:rsid w:val="00B81422"/>
    <w:rsid w:val="00B8190E"/>
    <w:rsid w:val="00B81C1E"/>
    <w:rsid w:val="00B8348C"/>
    <w:rsid w:val="00B858E9"/>
    <w:rsid w:val="00B86C3A"/>
    <w:rsid w:val="00B91FB4"/>
    <w:rsid w:val="00B9266F"/>
    <w:rsid w:val="00B92BB9"/>
    <w:rsid w:val="00B936A8"/>
    <w:rsid w:val="00B942D7"/>
    <w:rsid w:val="00B945B5"/>
    <w:rsid w:val="00B95009"/>
    <w:rsid w:val="00B9572E"/>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42BD"/>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04EB"/>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2915"/>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639C"/>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696"/>
    <w:rsid w:val="00E97C13"/>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37F9"/>
    <w:rsid w:val="00EF500A"/>
    <w:rsid w:val="00F005A7"/>
    <w:rsid w:val="00F0122D"/>
    <w:rsid w:val="00F01B13"/>
    <w:rsid w:val="00F029B0"/>
    <w:rsid w:val="00F030BE"/>
    <w:rsid w:val="00F03AE4"/>
    <w:rsid w:val="00F03F68"/>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basedOn w:val="Normalny"/>
    <w:link w:val="TekstprzypisudolnegoZnak"/>
    <w:semiHidden/>
    <w:rPr>
      <w:sz w:val="20"/>
      <w:szCs w:val="20"/>
    </w:rPr>
  </w:style>
  <w:style w:type="character" w:customStyle="1" w:styleId="TekstprzypisudolnegoZnak">
    <w:name w:val="Tekst przypisu dolnego Znak"/>
    <w:link w:val="Tekstprzypisudolnego"/>
    <w:semiHidden/>
    <w:locked/>
    <w:rPr>
      <w:lang w:val="pl-PL" w:eastAsia="pl-PL" w:bidi="ar-SA"/>
    </w:rPr>
  </w:style>
  <w:style w:type="character" w:styleId="Odwoanieprzypisudolnego">
    <w:name w:val="footnote reference"/>
    <w:uiPriority w:val="99"/>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8C83B-B263-495E-AF0C-63FA39AA4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2193</Words>
  <Characters>15108</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17267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Miłoszewski Konrad</cp:lastModifiedBy>
  <cp:revision>15</cp:revision>
  <cp:lastPrinted>2019-02-12T11:05:00Z</cp:lastPrinted>
  <dcterms:created xsi:type="dcterms:W3CDTF">2023-10-27T13:55:00Z</dcterms:created>
  <dcterms:modified xsi:type="dcterms:W3CDTF">2024-04-09T07:39:00Z</dcterms:modified>
</cp:coreProperties>
</file>